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FD992EB" Type="http://schemas.openxmlformats.org/officeDocument/2006/relationships/officeDocument" Target="/word/document.xml" /><Relationship Id="coreR6FD992E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rPr>
          <w:rStyle w:val="C3"/>
          <w:rFonts w:ascii="Courier New" w:hAnsi="Courier New"/>
          <w:b w:val="1"/>
          <w:u w:val="single"/>
        </w:rPr>
      </w:pPr>
      <w:r>
        <w:rPr>
          <w:rStyle w:val="C3"/>
          <w:rFonts w:ascii="Courier New" w:hAnsi="Courier New"/>
          <w:b w:val="1"/>
          <w:u w:val="single"/>
        </w:rPr>
        <w:t>ORDENANZA Nº 7827</w:t>
      </w:r>
    </w:p>
    <w:p>
      <w:pPr>
        <w:jc w:val="center"/>
        <w:rPr>
          <w:rStyle w:val="C3"/>
          <w:rFonts w:ascii="Courier New" w:hAnsi="Courier New"/>
          <w:sz w:val="24"/>
        </w:rPr>
      </w:pPr>
    </w:p>
    <w:p>
      <w:pPr>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Vistos: el Expediente Nº 254/03 y la Ordenanza N° 7696, sancionada en Mayo de 2007; y</w:t>
      </w:r>
    </w:p>
    <w:p>
      <w:pPr>
        <w:jc w:val="both"/>
        <w:rPr>
          <w:rStyle w:val="C3"/>
          <w:rFonts w:ascii="Courier New" w:hAnsi="Courier New"/>
          <w:sz w:val="24"/>
        </w:rPr>
      </w:pPr>
    </w:p>
    <w:p>
      <w:pPr>
        <w:jc w:val="center"/>
        <w:rPr>
          <w:rStyle w:val="C3"/>
          <w:rFonts w:ascii="Courier New" w:hAnsi="Courier New"/>
          <w:b w:val="1"/>
          <w:sz w:val="24"/>
        </w:rPr>
      </w:pPr>
    </w:p>
    <w:p>
      <w:pPr>
        <w:pStyle w:val="P1"/>
        <w:rPr>
          <w:rStyle w:val="C3"/>
          <w:rFonts w:ascii="Courier New" w:hAnsi="Courier New"/>
        </w:rPr>
      </w:pPr>
      <w:r>
        <w:rPr>
          <w:rStyle w:val="C3"/>
          <w:rFonts w:ascii="Courier New" w:hAnsi="Courier New"/>
        </w:rPr>
        <w:t>C O N S I D E R A N D O</w:t>
      </w:r>
    </w:p>
    <w:p>
      <w:pPr>
        <w:rPr>
          <w:rStyle w:val="C3"/>
          <w:rFonts w:ascii="Courier New" w:hAnsi="Courier New"/>
        </w:rPr>
      </w:pPr>
    </w:p>
    <w:p>
      <w:pPr>
        <w:rPr>
          <w:rStyle w:val="C3"/>
          <w:rFonts w:ascii="Courier New" w:hAnsi="Courier New"/>
          <w:sz w:val="24"/>
        </w:rPr>
      </w:pPr>
    </w:p>
    <w:p>
      <w:pPr>
        <w:pStyle w:val="P3"/>
        <w:ind w:left="709"/>
        <w:jc w:val="both"/>
        <w:rPr>
          <w:rStyle w:val="C3"/>
          <w:rFonts w:ascii="Courier New" w:hAnsi="Courier New"/>
        </w:rPr>
      </w:pPr>
      <w:r>
        <w:rPr>
          <w:rStyle w:val="C3"/>
          <w:rFonts w:ascii="Courier New" w:hAnsi="Courier New"/>
        </w:rPr>
        <w:t>Que a fs. 31 del mismo, la Dirección de Ingresos Públicos informa sobre algunas observaciones e interpretaciones que hacen a la Ordenanza ut supra mencionada;</w:t>
      </w:r>
    </w:p>
    <w:p>
      <w:pPr>
        <w:pStyle w:val="P3"/>
        <w:ind w:left="709"/>
        <w:jc w:val="both"/>
        <w:rPr>
          <w:rStyle w:val="C3"/>
          <w:rFonts w:ascii="Courier New" w:hAnsi="Courier New"/>
        </w:rPr>
      </w:pPr>
    </w:p>
    <w:p>
      <w:pPr>
        <w:pStyle w:val="P3"/>
        <w:ind w:left="709"/>
        <w:jc w:val="both"/>
        <w:rPr>
          <w:rStyle w:val="C3"/>
          <w:rFonts w:ascii="Courier New" w:hAnsi="Courier New"/>
        </w:rPr>
      </w:pPr>
      <w:r>
        <w:rPr>
          <w:rStyle w:val="C3"/>
          <w:rFonts w:ascii="Courier New" w:hAnsi="Courier New"/>
        </w:rPr>
        <w:t>Que corroborando con el despacho emitido por la Comisión de Hacienda, aprobado por unanimidad, en Sesión Ordinaria del día 10 de Mayo de 2007, surge la necesidad de corregir parte del texto de algunos artículos de la Ordenanza N° 7696;</w:t>
      </w:r>
    </w:p>
    <w:p>
      <w:pPr>
        <w:pStyle w:val="P3"/>
        <w:ind w:left="709"/>
        <w:jc w:val="both"/>
        <w:rPr>
          <w:rStyle w:val="C3"/>
          <w:rFonts w:ascii="Courier New" w:hAnsi="Courier New"/>
        </w:rPr>
      </w:pPr>
    </w:p>
    <w:p>
      <w:pPr>
        <w:pStyle w:val="P3"/>
        <w:ind w:left="709"/>
        <w:jc w:val="both"/>
        <w:rPr>
          <w:rStyle w:val="C3"/>
          <w:rFonts w:ascii="Courier New" w:hAnsi="Courier New"/>
        </w:rPr>
      </w:pPr>
      <w:r>
        <w:rPr>
          <w:rStyle w:val="C3"/>
          <w:rFonts w:ascii="Courier New" w:hAnsi="Courier New"/>
        </w:rPr>
        <w:t>Que evaluado el contenido del Expediente y de la Ordenanza mencionados por Comisión de Hacienda, la misma emite despacho en el marco de las Ordenanzas vigentes, despacho aprobado por unanimidad en Sesión Ordinaria de fecha 13 de septiembre de 2007.</w:t>
      </w:r>
    </w:p>
    <w:p>
      <w:pPr>
        <w:pStyle w:val="P3"/>
        <w:jc w:val="both"/>
        <w:rPr>
          <w:rStyle w:val="C3"/>
          <w:rFonts w:ascii="Courier New" w:hAnsi="Courier New"/>
          <w:b w:val="1"/>
        </w:rPr>
      </w:pPr>
    </w:p>
    <w:p>
      <w:pPr>
        <w:pStyle w:val="P3"/>
        <w:jc w:val="both"/>
        <w:rPr>
          <w:rStyle w:val="C3"/>
          <w:rFonts w:ascii="Courier New" w:hAnsi="Courier New"/>
          <w:b w:val="1"/>
        </w:rPr>
      </w:pPr>
    </w:p>
    <w:p>
      <w:pPr>
        <w:pStyle w:val="P3"/>
        <w:jc w:val="center"/>
        <w:rPr>
          <w:rStyle w:val="C3"/>
          <w:rFonts w:ascii="Courier New" w:hAnsi="Courier New"/>
          <w:b w:val="1"/>
        </w:rPr>
      </w:pPr>
      <w:r>
        <w:rPr>
          <w:rStyle w:val="C3"/>
          <w:rFonts w:ascii="Courier New" w:hAnsi="Courier New"/>
          <w:b w:val="1"/>
        </w:rPr>
        <w:t>EL HONORABLE CONCEJO DELIBERANTE DE LA CIUDAD DE</w:t>
      </w:r>
    </w:p>
    <w:p>
      <w:pPr>
        <w:pStyle w:val="P3"/>
        <w:ind w:left="1275"/>
        <w:jc w:val="both"/>
        <w:rPr>
          <w:rStyle w:val="C3"/>
          <w:rFonts w:ascii="Courier New" w:hAnsi="Courier New"/>
          <w:b w:val="1"/>
        </w:rPr>
      </w:pPr>
    </w:p>
    <w:p>
      <w:pPr>
        <w:pStyle w:val="P3"/>
        <w:ind w:left="1275"/>
        <w:jc w:val="both"/>
        <w:rPr>
          <w:rStyle w:val="C3"/>
          <w:rFonts w:ascii="Courier New" w:hAnsi="Courier New"/>
          <w:b w:val="1"/>
        </w:rPr>
      </w:pPr>
    </w:p>
    <w:p>
      <w:pPr>
        <w:pStyle w:val="P3"/>
        <w:ind w:left="1275"/>
        <w:jc w:val="both"/>
        <w:rPr>
          <w:rStyle w:val="C3"/>
          <w:rFonts w:ascii="Courier New" w:hAnsi="Courier New"/>
          <w:b w:val="1"/>
        </w:rPr>
      </w:pPr>
      <w:r>
        <w:rPr>
          <w:rStyle w:val="C3"/>
          <w:rFonts w:ascii="Courier New" w:hAnsi="Courier New"/>
          <w:b w:val="1"/>
        </w:rPr>
        <w:t>ALTA GRACIA SANCIONA CON FUERZA DE ORDENANZA</w:t>
      </w:r>
    </w:p>
    <w:p>
      <w:pPr>
        <w:pStyle w:val="P3"/>
        <w:ind w:hanging="709" w:left="709"/>
        <w:jc w:val="right"/>
        <w:rPr>
          <w:rStyle w:val="C3"/>
          <w:rFonts w:ascii="Courier New" w:hAnsi="Courier New"/>
        </w:rPr>
      </w:pPr>
    </w:p>
    <w:p>
      <w:pPr>
        <w:pStyle w:val="P3"/>
        <w:ind w:hanging="709" w:left="709"/>
        <w:jc w:val="both"/>
        <w:rPr>
          <w:rStyle w:val="C3"/>
          <w:rFonts w:ascii="Courier New" w:hAnsi="Courier New"/>
          <w:b w:val="1"/>
          <w:u w:val="single"/>
        </w:rPr>
      </w:pPr>
    </w:p>
    <w:p>
      <w:pPr>
        <w:pStyle w:val="P3"/>
        <w:ind w:hanging="709" w:left="709"/>
        <w:jc w:val="both"/>
        <w:rPr>
          <w:rStyle w:val="C3"/>
          <w:rFonts w:ascii="Courier New" w:hAnsi="Courier New"/>
        </w:rPr>
      </w:pPr>
      <w:r>
        <w:rPr>
          <w:rStyle w:val="C3"/>
          <w:rFonts w:ascii="Courier New" w:hAnsi="Courier New"/>
          <w:b w:val="1"/>
          <w:u w:val="single"/>
        </w:rPr>
        <w:t>Art.1</w:t>
      </w:r>
      <w:r>
        <w:rPr>
          <w:rStyle w:val="C3"/>
          <w:rFonts w:ascii="Courier New" w:hAnsi="Courier New"/>
          <w:b w:val="1"/>
        </w:rPr>
        <w:t>: MODIFÍCA</w:t>
      </w:r>
      <w:r>
        <w:rPr>
          <w:rStyle w:val="C3"/>
          <w:rFonts w:ascii="Courier New" w:hAnsi="Courier New"/>
          <w:b w:val="1"/>
        </w:rPr>
        <w:t>SE</w:t>
      </w:r>
      <w:r>
        <w:rPr>
          <w:rStyle w:val="C3"/>
          <w:rFonts w:ascii="Courier New" w:hAnsi="Courier New"/>
        </w:rPr>
        <w:t xml:space="preserve"> el Artículo 1 de la Ordenanza Nº 7696, el cual quedará redactado de la siguiente manera: donde dice “...desde la promulgación de la presente y hasta junio 2008, inclusive...”, debe decir “...hasta la promulgación de la presente...”. </w:t>
      </w:r>
    </w:p>
    <w:p>
      <w:pPr>
        <w:pStyle w:val="P3"/>
        <w:ind w:hanging="709" w:left="709"/>
        <w:jc w:val="both"/>
        <w:rPr>
          <w:rStyle w:val="C3"/>
          <w:rFonts w:ascii="Courier New" w:hAnsi="Courier New"/>
        </w:rPr>
      </w:pPr>
    </w:p>
    <w:p>
      <w:pPr>
        <w:pStyle w:val="P4"/>
        <w:ind w:hanging="709" w:left="709"/>
        <w:jc w:val="both"/>
        <w:outlineLvl w:val="0"/>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AGRÉGASE </w:t>
      </w:r>
      <w:r>
        <w:rPr>
          <w:rStyle w:val="C3"/>
          <w:rFonts w:ascii="Courier New" w:hAnsi="Courier New"/>
        </w:rPr>
        <w:t>al final del Artículo 6 de la Ordenanza Nº 7696 el siguiente texto: “...teniendo vigencia el presente beneficio hasta Junio 2008 inclusive...”.</w:t>
      </w:r>
    </w:p>
    <w:p>
      <w:pPr>
        <w:pStyle w:val="P4"/>
        <w:ind w:hanging="709" w:left="709"/>
        <w:jc w:val="right"/>
        <w:outlineLvl w:val="0"/>
        <w:rPr>
          <w:rStyle w:val="C3"/>
          <w:rFonts w:ascii="Courier New" w:hAnsi="Courier New"/>
        </w:rPr>
      </w:pPr>
      <w:r>
        <w:rPr>
          <w:rStyle w:val="C3"/>
          <w:rFonts w:ascii="Courier New" w:hAnsi="Courier New"/>
        </w:rPr>
        <w:t>...///</w:t>
      </w:r>
    </w:p>
    <w:p>
      <w:pPr>
        <w:pStyle w:val="P4"/>
        <w:ind w:hanging="709" w:left="709"/>
        <w:jc w:val="both"/>
        <w:outlineLvl w:val="0"/>
        <w:rPr>
          <w:rStyle w:val="C3"/>
          <w:rFonts w:ascii="Courier New" w:hAnsi="Courier New"/>
        </w:rPr>
      </w:pPr>
    </w:p>
    <w:p>
      <w:pPr>
        <w:pStyle w:val="P4"/>
        <w:ind w:hanging="709" w:left="709"/>
        <w:jc w:val="both"/>
        <w:outlineLvl w:val="0"/>
        <w:rPr>
          <w:rStyle w:val="C3"/>
          <w:rFonts w:ascii="Courier New" w:hAnsi="Courier New"/>
        </w:rPr>
      </w:pPr>
    </w:p>
    <w:p>
      <w:pPr>
        <w:pStyle w:val="P4"/>
        <w:ind w:hanging="709" w:left="709"/>
        <w:jc w:val="both"/>
        <w:outlineLvl w:val="0"/>
        <w:rPr>
          <w:rStyle w:val="C3"/>
          <w:rFonts w:ascii="Courier New" w:hAnsi="Courier New"/>
        </w:rPr>
      </w:pPr>
    </w:p>
    <w:p>
      <w:pPr>
        <w:pStyle w:val="P4"/>
        <w:ind w:hanging="709" w:left="709"/>
        <w:jc w:val="both"/>
        <w:outlineLvl w:val="0"/>
        <w:rPr>
          <w:rStyle w:val="C3"/>
          <w:rFonts w:ascii="Courier New" w:hAnsi="Courier New"/>
        </w:rPr>
      </w:pPr>
    </w:p>
    <w:p>
      <w:pPr>
        <w:pStyle w:val="P4"/>
        <w:ind w:hanging="709" w:left="709"/>
        <w:jc w:val="both"/>
        <w:outlineLvl w:val="0"/>
        <w:rPr>
          <w:rStyle w:val="C3"/>
          <w:rFonts w:ascii="Courier New" w:hAnsi="Courier New"/>
        </w:rPr>
      </w:pPr>
    </w:p>
    <w:p>
      <w:pPr>
        <w:pStyle w:val="P4"/>
        <w:ind w:hanging="709" w:left="709"/>
        <w:jc w:val="both"/>
        <w:outlineLvl w:val="0"/>
        <w:rPr>
          <w:rStyle w:val="C3"/>
          <w:rFonts w:ascii="Courier New" w:hAnsi="Courier New"/>
        </w:rPr>
      </w:pPr>
    </w:p>
    <w:p>
      <w:pPr>
        <w:pStyle w:val="P4"/>
        <w:ind w:hanging="709" w:left="709"/>
        <w:jc w:val="both"/>
        <w:outlineLvl w:val="0"/>
        <w:rPr>
          <w:rStyle w:val="C3"/>
          <w:rFonts w:ascii="Courier New" w:hAnsi="Courier New"/>
        </w:rPr>
      </w:pPr>
    </w:p>
    <w:p>
      <w:pPr>
        <w:pStyle w:val="P4"/>
        <w:ind w:hanging="709" w:left="709"/>
        <w:jc w:val="both"/>
        <w:outlineLvl w:val="0"/>
        <w:rPr>
          <w:rStyle w:val="C3"/>
          <w:rFonts w:ascii="Courier New" w:hAnsi="Courier New"/>
        </w:rPr>
      </w:pPr>
      <w:r>
        <w:rPr>
          <w:rStyle w:val="C3"/>
          <w:rFonts w:ascii="Courier New" w:hAnsi="Courier New"/>
        </w:rPr>
        <w:t>...///2.-</w:t>
      </w:r>
    </w:p>
    <w:p>
      <w:pPr>
        <w:pStyle w:val="P4"/>
        <w:ind w:hanging="709" w:left="709"/>
        <w:jc w:val="both"/>
        <w:outlineLvl w:val="0"/>
        <w:rPr>
          <w:rStyle w:val="C3"/>
          <w:rFonts w:ascii="Courier New" w:hAnsi="Courier New"/>
        </w:rPr>
      </w:pPr>
    </w:p>
    <w:p>
      <w:pPr>
        <w:pStyle w:val="P5"/>
        <w:ind w:hanging="709" w:left="709"/>
        <w:jc w:val="both"/>
        <w:rPr>
          <w:rStyle w:val="C3"/>
          <w:sz w:val="24"/>
        </w:rPr>
      </w:pPr>
      <w:r>
        <w:rPr>
          <w:rStyle w:val="C3"/>
          <w:b w:val="1"/>
          <w:sz w:val="24"/>
          <w:u w:val="single"/>
        </w:rPr>
        <w:t>Art.3</w:t>
      </w:r>
      <w:r>
        <w:rPr>
          <w:rStyle w:val="C3"/>
          <w:b w:val="1"/>
          <w:sz w:val="24"/>
        </w:rPr>
        <w:t xml:space="preserve">: MODIFÍCASE </w:t>
      </w:r>
      <w:r>
        <w:rPr>
          <w:rStyle w:val="C3"/>
          <w:sz w:val="24"/>
        </w:rPr>
        <w:t xml:space="preserve">el Artículo 17 de la Ordenanza N° 7696 el cual quedará redactado de la siguiente manera: </w:t>
      </w:r>
    </w:p>
    <w:p>
      <w:pPr>
        <w:pStyle w:val="P5"/>
        <w:ind w:left="709"/>
        <w:jc w:val="both"/>
        <w:rPr>
          <w:rStyle w:val="C3"/>
          <w:sz w:val="24"/>
        </w:rPr>
      </w:pPr>
      <w:r>
        <w:rPr>
          <w:rStyle w:val="C3"/>
          <w:sz w:val="24"/>
        </w:rPr>
        <w:t>“</w:t>
      </w:r>
      <w:r>
        <w:rPr>
          <w:rStyle w:val="C3"/>
          <w:sz w:val="24"/>
          <w:u w:val="single"/>
        </w:rPr>
        <w:t>Art.17</w:t>
      </w:r>
      <w:r>
        <w:rPr>
          <w:rStyle w:val="C3"/>
          <w:sz w:val="24"/>
        </w:rPr>
        <w:t>: SOLICÍTASE</w:t>
      </w:r>
      <w:r>
        <w:rPr>
          <w:rStyle w:val="C3"/>
          <w:b w:val="1"/>
          <w:sz w:val="24"/>
        </w:rPr>
        <w:t xml:space="preserve"> </w:t>
      </w:r>
      <w:r>
        <w:rPr>
          <w:rStyle w:val="C3"/>
          <w:sz w:val="24"/>
        </w:rPr>
        <w:t xml:space="preserve">al Sr. Intendente que interceda ante los Procuradores actuantes a los fines de dejar sin efecto los juicios  y honorarios de los procuradores, iniciados a los propietarios de los siguientes inmuebles respecto de los correspondientes años que se detallan a continuación:</w:t>
      </w:r>
    </w:p>
    <w:p>
      <w:pPr>
        <w:pStyle w:val="P5"/>
        <w:ind w:hanging="709" w:left="709"/>
        <w:jc w:val="both"/>
        <w:rPr>
          <w:rStyle w:val="C3"/>
          <w:sz w:val="24"/>
        </w:rPr>
      </w:pPr>
    </w:p>
    <w:tbl>
      <w:tblPr>
        <w:tblW w:w="9404" w:type="dxa"/>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top w:w="0" w:type="dxa"/>
          <w:left w:w="70" w:type="dxa"/>
          <w:bottom w:w="0" w:type="dxa"/>
          <w:right w:w="70" w:type="dxa"/>
        </w:tblCellMar>
      </w:tblPr>
      <w:tblGrid/>
      <w:tr>
        <w:tc>
          <w:tcPr>
            <w:tcW w:w="2351"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b w:val="1"/>
                <w:sz w:val="24"/>
              </w:rPr>
            </w:pPr>
            <w:r>
              <w:rPr>
                <w:rStyle w:val="C3"/>
                <w:b w:val="1"/>
                <w:sz w:val="24"/>
              </w:rPr>
              <w:t>Titular</w:t>
            </w:r>
          </w:p>
        </w:tc>
        <w:tc>
          <w:tcPr>
            <w:tcW w:w="2681"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b w:val="1"/>
                <w:sz w:val="24"/>
              </w:rPr>
            </w:pPr>
            <w:r>
              <w:rPr>
                <w:rStyle w:val="C3"/>
                <w:b w:val="1"/>
                <w:sz w:val="24"/>
              </w:rPr>
              <w:t>Designación Catast.</w:t>
            </w:r>
          </w:p>
        </w:tc>
        <w:tc>
          <w:tcPr>
            <w:tcW w:w="2268"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b w:val="1"/>
                <w:sz w:val="24"/>
              </w:rPr>
            </w:pPr>
            <w:r>
              <w:rPr>
                <w:rStyle w:val="C3"/>
                <w:b w:val="1"/>
                <w:sz w:val="24"/>
              </w:rPr>
              <w:t>Expte. N°</w:t>
            </w:r>
          </w:p>
        </w:tc>
        <w:tc>
          <w:tcPr>
            <w:tcW w:w="2104"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b w:val="1"/>
                <w:sz w:val="24"/>
              </w:rPr>
            </w:pPr>
            <w:r>
              <w:rPr>
                <w:rStyle w:val="C3"/>
                <w:b w:val="1"/>
                <w:sz w:val="24"/>
              </w:rPr>
              <w:t>Deuda de los años</w:t>
            </w:r>
          </w:p>
        </w:tc>
      </w:tr>
      <w:tr>
        <w:tblPrEx>
          <w:tblW w:w="9404" w:type="dxa"/>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left w:w="70" w:type="dxa"/>
            <w:right w:w="70" w:type="dxa"/>
          </w:tblCellMar>
        </w:tblPrEx>
        <w:trPr>
          <w:trHeight w:hRule="atLeast" w:val="497"/>
        </w:trPr>
        <w:tc>
          <w:tcPr>
            <w:tcW w:w="2351"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sz w:val="24"/>
              </w:rPr>
            </w:pPr>
            <w:r>
              <w:rPr>
                <w:rStyle w:val="C3"/>
                <w:sz w:val="24"/>
              </w:rPr>
              <w:t>Quagliato, Carlos Federico</w:t>
            </w:r>
          </w:p>
        </w:tc>
        <w:tc>
          <w:tcPr>
            <w:tcW w:w="2681"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sz w:val="24"/>
              </w:rPr>
            </w:pPr>
            <w:r>
              <w:rPr>
                <w:rStyle w:val="C3"/>
                <w:sz w:val="24"/>
              </w:rPr>
              <w:t>4-01-123-005-000</w:t>
            </w:r>
          </w:p>
        </w:tc>
        <w:tc>
          <w:tcPr>
            <w:tcW w:w="2268"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sz w:val="24"/>
              </w:rPr>
            </w:pPr>
            <w:r>
              <w:rPr>
                <w:rStyle w:val="C3"/>
                <w:sz w:val="24"/>
              </w:rPr>
              <w:t>1537/98 – 407/02</w:t>
            </w:r>
          </w:p>
        </w:tc>
        <w:tc>
          <w:tcPr>
            <w:tcW w:w="2104"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b w:val="1"/>
                <w:sz w:val="24"/>
              </w:rPr>
            </w:pPr>
            <w:r>
              <w:rPr>
                <w:rStyle w:val="C3"/>
                <w:b w:val="1"/>
                <w:sz w:val="24"/>
              </w:rPr>
              <w:t>-</w:t>
            </w:r>
          </w:p>
        </w:tc>
      </w:tr>
      <w:tr>
        <w:tblPrEx>
          <w:tblW w:w="9404" w:type="dxa"/>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left w:w="70" w:type="dxa"/>
            <w:right w:w="70" w:type="dxa"/>
          </w:tblCellMar>
        </w:tblPrEx>
        <w:trPr>
          <w:trHeight w:hRule="atLeast" w:val="497"/>
        </w:trPr>
        <w:tc>
          <w:tcPr>
            <w:tcW w:w="2351"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sz w:val="24"/>
              </w:rPr>
            </w:pPr>
            <w:r>
              <w:rPr>
                <w:rStyle w:val="C3"/>
                <w:sz w:val="24"/>
              </w:rPr>
              <w:t>Aguirre, José Nicolás</w:t>
            </w:r>
          </w:p>
        </w:tc>
        <w:tc>
          <w:tcPr>
            <w:tcW w:w="2681"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sz w:val="24"/>
              </w:rPr>
            </w:pPr>
            <w:r>
              <w:rPr>
                <w:rStyle w:val="C3"/>
                <w:sz w:val="24"/>
              </w:rPr>
              <w:t>4-02-176-017-000</w:t>
            </w:r>
          </w:p>
        </w:tc>
        <w:tc>
          <w:tcPr>
            <w:tcW w:w="2268"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sz w:val="24"/>
              </w:rPr>
            </w:pPr>
            <w:r>
              <w:rPr>
                <w:rStyle w:val="C3"/>
                <w:sz w:val="24"/>
              </w:rPr>
              <w:t>254/03</w:t>
            </w:r>
          </w:p>
        </w:tc>
        <w:tc>
          <w:tcPr>
            <w:tcW w:w="2104"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b w:val="1"/>
                <w:sz w:val="24"/>
              </w:rPr>
            </w:pPr>
            <w:r>
              <w:rPr>
                <w:rStyle w:val="C3"/>
                <w:b w:val="1"/>
                <w:sz w:val="24"/>
              </w:rPr>
              <w:t>-</w:t>
            </w:r>
          </w:p>
        </w:tc>
      </w:tr>
      <w:tr>
        <w:tblPrEx>
          <w:tblW w:w="9404" w:type="dxa"/>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left w:w="70" w:type="dxa"/>
            <w:right w:w="70" w:type="dxa"/>
          </w:tblCellMar>
        </w:tblPrEx>
        <w:trPr>
          <w:trHeight w:hRule="atLeast" w:val="497"/>
        </w:trPr>
        <w:tc>
          <w:tcPr>
            <w:tcW w:w="2351"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sz w:val="24"/>
              </w:rPr>
            </w:pPr>
            <w:r>
              <w:rPr>
                <w:rStyle w:val="C3"/>
                <w:sz w:val="24"/>
              </w:rPr>
              <w:t>Aguirre, José Nicolás</w:t>
            </w:r>
          </w:p>
        </w:tc>
        <w:tc>
          <w:tcPr>
            <w:tcW w:w="2681"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sz w:val="24"/>
              </w:rPr>
            </w:pPr>
            <w:r>
              <w:rPr>
                <w:rStyle w:val="C3"/>
                <w:sz w:val="24"/>
              </w:rPr>
              <w:t>4-02-176-016-000</w:t>
            </w:r>
          </w:p>
        </w:tc>
        <w:tc>
          <w:tcPr>
            <w:tcW w:w="2268"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sz w:val="24"/>
              </w:rPr>
            </w:pPr>
            <w:r>
              <w:rPr>
                <w:rStyle w:val="C3"/>
                <w:sz w:val="24"/>
              </w:rPr>
              <w:t>254/03</w:t>
            </w:r>
          </w:p>
        </w:tc>
        <w:tc>
          <w:tcPr>
            <w:tcW w:w="2104"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b w:val="1"/>
                <w:sz w:val="24"/>
              </w:rPr>
            </w:pPr>
            <w:r>
              <w:rPr>
                <w:rStyle w:val="C3"/>
                <w:b w:val="1"/>
                <w:sz w:val="24"/>
              </w:rPr>
              <w:t>-</w:t>
            </w:r>
          </w:p>
        </w:tc>
      </w:tr>
      <w:tr>
        <w:tblPrEx>
          <w:tblW w:w="9404" w:type="dxa"/>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left w:w="70" w:type="dxa"/>
            <w:right w:w="70" w:type="dxa"/>
          </w:tblCellMar>
        </w:tblPrEx>
        <w:trPr>
          <w:trHeight w:hRule="atLeast" w:val="497"/>
        </w:trPr>
        <w:tc>
          <w:tcPr>
            <w:tcW w:w="2351"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sz w:val="24"/>
              </w:rPr>
            </w:pPr>
            <w:r>
              <w:rPr>
                <w:rStyle w:val="C3"/>
                <w:sz w:val="24"/>
              </w:rPr>
              <w:t>Freytes, Reimundo</w:t>
            </w:r>
          </w:p>
        </w:tc>
        <w:tc>
          <w:tcPr>
            <w:tcW w:w="2681"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sz w:val="24"/>
              </w:rPr>
            </w:pPr>
            <w:r>
              <w:rPr>
                <w:rStyle w:val="C3"/>
                <w:sz w:val="24"/>
              </w:rPr>
              <w:t>01-01-037-025-000</w:t>
            </w:r>
          </w:p>
        </w:tc>
        <w:tc>
          <w:tcPr>
            <w:tcW w:w="2268"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sz w:val="24"/>
              </w:rPr>
            </w:pPr>
            <w:r>
              <w:rPr>
                <w:rStyle w:val="C3"/>
                <w:sz w:val="24"/>
              </w:rPr>
              <w:t>1505/03</w:t>
            </w:r>
          </w:p>
        </w:tc>
        <w:tc>
          <w:tcPr>
            <w:tcW w:w="2104"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b w:val="1"/>
                <w:sz w:val="24"/>
              </w:rPr>
            </w:pPr>
            <w:r>
              <w:rPr>
                <w:rStyle w:val="C3"/>
                <w:b w:val="1"/>
                <w:sz w:val="24"/>
              </w:rPr>
              <w:t>-</w:t>
            </w:r>
          </w:p>
        </w:tc>
      </w:tr>
      <w:tr>
        <w:tblPrEx>
          <w:tblW w:w="9404" w:type="dxa"/>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left w:w="70" w:type="dxa"/>
            <w:right w:w="70" w:type="dxa"/>
          </w:tblCellMar>
        </w:tblPrEx>
        <w:trPr>
          <w:trHeight w:hRule="atLeast" w:val="497"/>
        </w:trPr>
        <w:tc>
          <w:tcPr>
            <w:tcW w:w="2351"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sz w:val="24"/>
              </w:rPr>
            </w:pPr>
            <w:r>
              <w:rPr>
                <w:rStyle w:val="C3"/>
                <w:sz w:val="24"/>
              </w:rPr>
              <w:t>Albella, María Teresa</w:t>
            </w:r>
          </w:p>
        </w:tc>
        <w:tc>
          <w:tcPr>
            <w:tcW w:w="2681"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sz w:val="24"/>
              </w:rPr>
            </w:pPr>
            <w:r>
              <w:rPr>
                <w:rStyle w:val="C3"/>
                <w:sz w:val="24"/>
              </w:rPr>
              <w:t>3-01-154-016-000</w:t>
            </w:r>
          </w:p>
        </w:tc>
        <w:tc>
          <w:tcPr>
            <w:tcW w:w="2268"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sz w:val="24"/>
              </w:rPr>
            </w:pPr>
            <w:r>
              <w:rPr>
                <w:rStyle w:val="C3"/>
                <w:sz w:val="24"/>
              </w:rPr>
              <w:t>690/I/06</w:t>
            </w:r>
          </w:p>
        </w:tc>
        <w:tc>
          <w:tcPr>
            <w:tcW w:w="2104"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sz w:val="24"/>
              </w:rPr>
            </w:pPr>
            <w:r>
              <w:rPr>
                <w:rStyle w:val="C3"/>
                <w:sz w:val="24"/>
              </w:rPr>
              <w:t>-</w:t>
            </w:r>
          </w:p>
        </w:tc>
      </w:tr>
      <w:tr>
        <w:tblPrEx>
          <w:tblW w:w="9404" w:type="dxa"/>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left w:w="70" w:type="dxa"/>
            <w:right w:w="70" w:type="dxa"/>
          </w:tblCellMar>
        </w:tblPrEx>
        <w:trPr>
          <w:trHeight w:hRule="atLeast" w:val="497"/>
        </w:trPr>
        <w:tc>
          <w:tcPr>
            <w:tcW w:w="2351"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sz w:val="24"/>
              </w:rPr>
            </w:pPr>
            <w:r>
              <w:rPr>
                <w:rStyle w:val="C3"/>
                <w:sz w:val="24"/>
              </w:rPr>
              <w:t>Romero, Tomás Daniel</w:t>
            </w:r>
          </w:p>
        </w:tc>
        <w:tc>
          <w:tcPr>
            <w:tcW w:w="2681"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sz w:val="24"/>
              </w:rPr>
            </w:pPr>
            <w:r>
              <w:rPr>
                <w:rStyle w:val="C3"/>
                <w:sz w:val="24"/>
              </w:rPr>
              <w:t>1-01-033-021-000</w:t>
            </w:r>
          </w:p>
        </w:tc>
        <w:tc>
          <w:tcPr>
            <w:tcW w:w="2268"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sz w:val="24"/>
              </w:rPr>
            </w:pPr>
            <w:r>
              <w:rPr>
                <w:rStyle w:val="C3"/>
                <w:sz w:val="24"/>
              </w:rPr>
              <w:t>719/I/06</w:t>
            </w:r>
          </w:p>
        </w:tc>
        <w:tc>
          <w:tcPr>
            <w:tcW w:w="2104"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sz w:val="24"/>
              </w:rPr>
            </w:pPr>
            <w:r>
              <w:rPr>
                <w:rStyle w:val="C3"/>
                <w:sz w:val="24"/>
              </w:rPr>
              <w:t>-</w:t>
            </w:r>
          </w:p>
        </w:tc>
      </w:tr>
      <w:tr>
        <w:tblPrEx>
          <w:tblW w:w="9404" w:type="dxa"/>
          <w:tblInd w:w="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left w:w="70" w:type="dxa"/>
            <w:right w:w="70" w:type="dxa"/>
          </w:tblCellMar>
        </w:tblPrEx>
        <w:trPr>
          <w:trHeight w:hRule="atLeast" w:val="497"/>
        </w:trPr>
        <w:tc>
          <w:tcPr>
            <w:tcW w:w="2351"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sz w:val="24"/>
              </w:rPr>
            </w:pPr>
            <w:r>
              <w:rPr>
                <w:rStyle w:val="C3"/>
                <w:sz w:val="24"/>
              </w:rPr>
              <w:t>Villarreal, Manuela Eusebia</w:t>
            </w:r>
          </w:p>
        </w:tc>
        <w:tc>
          <w:tcPr>
            <w:tcW w:w="2681"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sz w:val="24"/>
              </w:rPr>
            </w:pPr>
            <w:r>
              <w:rPr>
                <w:rStyle w:val="C3"/>
                <w:sz w:val="24"/>
              </w:rPr>
              <w:t>1-01-025-017-002</w:t>
            </w:r>
          </w:p>
        </w:tc>
        <w:tc>
          <w:tcPr>
            <w:tcW w:w="2268"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sz w:val="24"/>
              </w:rPr>
            </w:pPr>
            <w:r>
              <w:rPr>
                <w:rStyle w:val="C3"/>
                <w:sz w:val="24"/>
              </w:rPr>
              <w:t>778/03</w:t>
            </w:r>
          </w:p>
        </w:tc>
        <w:tc>
          <w:tcPr>
            <w:tcW w:w="2104" w:type="dxa"/>
            <w:tcBorders>
              <w:top w:val="nil" w:sz="0" w:space="0" w:shadow="0" w:frame="0" w:color="000000"/>
              <w:left w:val="nil" w:sz="0" w:space="0" w:shadow="0" w:frame="0" w:color="000000"/>
              <w:bottom w:val="nil" w:sz="0" w:space="0" w:shadow="0" w:frame="0" w:color="000000"/>
              <w:right w:val="nil" w:sz="0" w:space="0" w:shadow="0" w:frame="0" w:color="000000"/>
            </w:tcBorders>
          </w:tcPr>
          <w:p>
            <w:pPr>
              <w:pStyle w:val="P5"/>
              <w:jc w:val="center"/>
              <w:rPr>
                <w:rStyle w:val="C3"/>
                <w:sz w:val="24"/>
              </w:rPr>
            </w:pPr>
            <w:r>
              <w:rPr>
                <w:rStyle w:val="C3"/>
                <w:sz w:val="24"/>
              </w:rPr>
              <w:t>-</w:t>
            </w:r>
          </w:p>
        </w:tc>
      </w:tr>
    </w:tbl>
    <w:p>
      <w:pPr>
        <w:pStyle w:val="P5"/>
        <w:ind w:hanging="709" w:left="709"/>
        <w:jc w:val="both"/>
        <w:rPr>
          <w:rStyle w:val="C3"/>
          <w:sz w:val="24"/>
        </w:rPr>
      </w:pPr>
    </w:p>
    <w:p>
      <w:pPr>
        <w:pStyle w:val="P5"/>
        <w:ind w:hanging="709" w:left="709"/>
        <w:jc w:val="both"/>
        <w:rPr>
          <w:rStyle w:val="C3"/>
          <w:sz w:val="24"/>
        </w:rPr>
      </w:pPr>
    </w:p>
    <w:p>
      <w:pPr>
        <w:pStyle w:val="P5"/>
        <w:ind w:hanging="709" w:left="709"/>
        <w:jc w:val="both"/>
        <w:rPr>
          <w:rStyle w:val="C3"/>
          <w:b w:val="1"/>
          <w:sz w:val="24"/>
          <w:u w:val="single"/>
        </w:rPr>
      </w:pPr>
      <w:r>
        <w:rPr>
          <w:rStyle w:val="C3"/>
          <w:b w:val="1"/>
          <w:sz w:val="24"/>
          <w:u w:val="single"/>
        </w:rPr>
        <w:t>Art.4</w:t>
      </w:r>
      <w:r>
        <w:rPr>
          <w:rStyle w:val="C3"/>
          <w:b w:val="1"/>
          <w:sz w:val="24"/>
        </w:rPr>
        <w:t>: TÉNGASE</w:t>
      </w:r>
      <w:r>
        <w:rPr>
          <w:rStyle w:val="C3"/>
          <w:sz w:val="24"/>
        </w:rPr>
        <w:t xml:space="preserve"> como texto ordenado.</w:t>
      </w:r>
    </w:p>
    <w:p>
      <w:pPr>
        <w:pStyle w:val="P5"/>
        <w:ind w:hanging="709" w:left="709"/>
        <w:jc w:val="both"/>
        <w:rPr>
          <w:rStyle w:val="C3"/>
          <w:b w:val="1"/>
          <w:sz w:val="24"/>
          <w:u w:val="single"/>
        </w:rPr>
      </w:pPr>
    </w:p>
    <w:p>
      <w:pPr>
        <w:pStyle w:val="P5"/>
        <w:ind w:hanging="709" w:left="709"/>
        <w:jc w:val="both"/>
        <w:rPr>
          <w:rStyle w:val="C3"/>
          <w:sz w:val="24"/>
        </w:rPr>
      </w:pPr>
      <w:r>
        <w:rPr>
          <w:rStyle w:val="C3"/>
          <w:b w:val="1"/>
          <w:sz w:val="24"/>
          <w:u w:val="single"/>
        </w:rPr>
        <w:t>Art.5</w:t>
      </w:r>
      <w:r>
        <w:rPr>
          <w:rStyle w:val="C3"/>
          <w:b w:val="1"/>
          <w:sz w:val="24"/>
        </w:rPr>
        <w:t>: PROTOCOLÍCESE</w:t>
      </w:r>
      <w:r>
        <w:rPr>
          <w:rStyle w:val="C3"/>
          <w:sz w:val="24"/>
        </w:rPr>
        <w:t>, comuníquese, publíquese en el Boletín Oficial de la Ciudad de Alta Gracia, transcríbase al libro de Ordenanzas y Archívese.</w:t>
      </w:r>
    </w:p>
    <w:p>
      <w:pPr>
        <w:pStyle w:val="P5"/>
        <w:ind w:hanging="709" w:left="709"/>
        <w:jc w:val="both"/>
        <w:rPr>
          <w:rStyle w:val="C3"/>
          <w:sz w:val="24"/>
        </w:rPr>
      </w:pPr>
    </w:p>
    <w:p>
      <w:pPr>
        <w:pStyle w:val="P5"/>
        <w:ind w:hanging="709" w:left="709"/>
        <w:jc w:val="both"/>
        <w:rPr>
          <w:rStyle w:val="C3"/>
          <w:sz w:val="24"/>
        </w:rPr>
      </w:pPr>
    </w:p>
    <w:p>
      <w:pPr>
        <w:pStyle w:val="P3"/>
        <w:ind w:left="0"/>
        <w:jc w:val="both"/>
        <w:rPr>
          <w:rStyle w:val="C3"/>
          <w:rFonts w:ascii="Courier New" w:hAnsi="Courier New"/>
        </w:rPr>
      </w:pPr>
      <w:r>
        <w:rPr>
          <w:rStyle w:val="C3"/>
          <w:rFonts w:ascii="Courier New" w:hAnsi="Courier New"/>
          <w:b w:val="1"/>
        </w:rPr>
        <w:t>DADA EN LA SALA DE SESIONES DEL HONORABLE CONCEJO DELIBERANTE A LOS TRECE DÍAS DEL MES DE SEPTIEMBRE DEL AÑO DOS MIL SIETE.</w:t>
      </w:r>
    </w:p>
    <w:sectPr>
      <w:type w:val="nextPage"/>
      <w:pgMar w:left="1700" w:right="850" w:top="1133" w:bottom="1133" w:header="708" w:footer="708"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left"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E894E2A"/>
    <w:multiLevelType w:val="hybridMultilevel"/>
    <w:lvl w:ilvl="0" w:tplc="7201AD47">
      <w:start w:val="4"/>
      <w:numFmt w:val="bullet"/>
      <w:suff w:val="tab"/>
      <w:lvlText w:val=""/>
      <w:lvlJc w:val="left"/>
      <w:pPr>
        <w:ind w:hanging="360" w:left="720"/>
        <w:tabs>
          <w:tab w:val="left" w:pos="720" w:leader="none"/>
        </w:tabs>
      </w:pPr>
      <w:rPr>
        <w:rFonts w:ascii="Symbol" w:hAnsi="Symbol"/>
        <w:b w:val="1"/>
      </w:rPr>
    </w:lvl>
    <w:lvl w:ilvl="1" w:tplc="79DA30AF">
      <w:start w:val="1"/>
      <w:numFmt w:val="bullet"/>
      <w:suff w:val="tab"/>
      <w:lvlText w:val="o"/>
      <w:lvlJc w:val="left"/>
      <w:pPr>
        <w:ind w:hanging="360" w:left="1440"/>
        <w:tabs>
          <w:tab w:val="left" w:pos="1440" w:leader="none"/>
        </w:tabs>
      </w:pPr>
      <w:rPr>
        <w:rFonts w:ascii="Courier New" w:hAnsi="Courier New"/>
      </w:rPr>
    </w:lvl>
    <w:lvl w:ilvl="2" w:tplc="17DB4F5F">
      <w:start w:val="1"/>
      <w:numFmt w:val="bullet"/>
      <w:suff w:val="tab"/>
      <w:lvlText w:val=""/>
      <w:lvlJc w:val="left"/>
      <w:pPr>
        <w:ind w:hanging="360" w:left="2160"/>
        <w:tabs>
          <w:tab w:val="left" w:pos="2160" w:leader="none"/>
        </w:tabs>
      </w:pPr>
      <w:rPr>
        <w:rFonts w:ascii="Wingdings" w:hAnsi="Wingdings"/>
      </w:rPr>
    </w:lvl>
    <w:lvl w:ilvl="3" w:tplc="19FFD659">
      <w:start w:val="1"/>
      <w:numFmt w:val="bullet"/>
      <w:suff w:val="tab"/>
      <w:lvlText w:val=""/>
      <w:lvlJc w:val="left"/>
      <w:pPr>
        <w:ind w:hanging="360" w:left="2880"/>
        <w:tabs>
          <w:tab w:val="left" w:pos="2880" w:leader="none"/>
        </w:tabs>
      </w:pPr>
      <w:rPr>
        <w:rFonts w:ascii="Symbol" w:hAnsi="Symbol"/>
      </w:rPr>
    </w:lvl>
    <w:lvl w:ilvl="4" w:tplc="6231FC6C">
      <w:start w:val="1"/>
      <w:numFmt w:val="bullet"/>
      <w:suff w:val="tab"/>
      <w:lvlText w:val="o"/>
      <w:lvlJc w:val="left"/>
      <w:pPr>
        <w:ind w:hanging="360" w:left="3600"/>
        <w:tabs>
          <w:tab w:val="left" w:pos="3600" w:leader="none"/>
        </w:tabs>
      </w:pPr>
      <w:rPr>
        <w:rFonts w:ascii="Courier New" w:hAnsi="Courier New"/>
      </w:rPr>
    </w:lvl>
    <w:lvl w:ilvl="5" w:tplc="5427792D">
      <w:start w:val="1"/>
      <w:numFmt w:val="bullet"/>
      <w:suff w:val="tab"/>
      <w:lvlText w:val=""/>
      <w:lvlJc w:val="left"/>
      <w:pPr>
        <w:ind w:hanging="360" w:left="4320"/>
        <w:tabs>
          <w:tab w:val="left" w:pos="4320" w:leader="none"/>
        </w:tabs>
      </w:pPr>
      <w:rPr>
        <w:rFonts w:ascii="Wingdings" w:hAnsi="Wingdings"/>
      </w:rPr>
    </w:lvl>
    <w:lvl w:ilvl="6" w:tplc="4A4B181F">
      <w:start w:val="1"/>
      <w:numFmt w:val="bullet"/>
      <w:suff w:val="tab"/>
      <w:lvlText w:val=""/>
      <w:lvlJc w:val="left"/>
      <w:pPr>
        <w:ind w:hanging="360" w:left="5040"/>
        <w:tabs>
          <w:tab w:val="left" w:pos="5040" w:leader="none"/>
        </w:tabs>
      </w:pPr>
      <w:rPr>
        <w:rFonts w:ascii="Symbol" w:hAnsi="Symbol"/>
      </w:rPr>
    </w:lvl>
    <w:lvl w:ilvl="7" w:tplc="174078C5">
      <w:start w:val="1"/>
      <w:numFmt w:val="bullet"/>
      <w:suff w:val="tab"/>
      <w:lvlText w:val="o"/>
      <w:lvlJc w:val="left"/>
      <w:pPr>
        <w:ind w:hanging="360" w:left="5760"/>
        <w:tabs>
          <w:tab w:val="left" w:pos="5760" w:leader="none"/>
        </w:tabs>
      </w:pPr>
      <w:rPr>
        <w:rFonts w:ascii="Courier New" w:hAnsi="Courier New"/>
      </w:rPr>
    </w:lvl>
    <w:lvl w:ilvl="8" w:tplc="590782D1">
      <w:start w:val="1"/>
      <w:numFmt w:val="bullet"/>
      <w:suff w:val="tab"/>
      <w:lvlText w:val=""/>
      <w:lvlJc w:val="left"/>
      <w:pPr>
        <w:ind w:hanging="360" w:left="6480"/>
        <w:tabs>
          <w:tab w:val="left" w:pos="6480" w:leader="none"/>
        </w:tabs>
      </w:pPr>
      <w:rPr>
        <w:rFonts w:ascii="Wingdings" w:hAnsi="Wingdings"/>
      </w:rPr>
    </w:lvl>
  </w:abstractNum>
  <w:abstractNum w:abstractNumId="2">
    <w:nsid w:val="1C5F2711"/>
    <w:multiLevelType w:val="multilevel"/>
    <w:lvl w:ilvl="0">
      <w:start w:val="1"/>
      <w:numFmt w:val="upperLetter"/>
      <w:suff w:val="tab"/>
      <w:lvlText w:val="%1)"/>
      <w:lvlJc w:val="left"/>
      <w:pPr>
        <w:ind w:hanging="435" w:left="1711"/>
        <w:tabs>
          <w:tab w:val="left"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FA53C7"/>
    <w:multiLevelType w:val="hybridMultilevel"/>
    <w:lvl w:ilvl="0" w:tplc="0833C377">
      <w:start w:val="1505"/>
      <w:numFmt w:val="bullet"/>
      <w:suff w:val="tab"/>
      <w:lvlText w:val=""/>
      <w:lvlJc w:val="left"/>
      <w:pPr>
        <w:ind w:hanging="360" w:left="720"/>
        <w:tabs>
          <w:tab w:val="left" w:pos="720" w:leader="none"/>
        </w:tabs>
      </w:pPr>
      <w:rPr>
        <w:rFonts w:ascii="Symbol" w:hAnsi="Symbol"/>
        <w:b w:val="1"/>
      </w:rPr>
    </w:lvl>
    <w:lvl w:ilvl="1" w:tplc="26143355">
      <w:start w:val="1"/>
      <w:numFmt w:val="bullet"/>
      <w:suff w:val="tab"/>
      <w:lvlText w:val="o"/>
      <w:lvlJc w:val="left"/>
      <w:pPr>
        <w:ind w:hanging="360" w:left="1440"/>
        <w:tabs>
          <w:tab w:val="left" w:pos="1440" w:leader="none"/>
        </w:tabs>
      </w:pPr>
      <w:rPr>
        <w:rFonts w:ascii="Courier New" w:hAnsi="Courier New"/>
      </w:rPr>
    </w:lvl>
    <w:lvl w:ilvl="2" w:tplc="38C1FDC8">
      <w:start w:val="1"/>
      <w:numFmt w:val="bullet"/>
      <w:suff w:val="tab"/>
      <w:lvlText w:val=""/>
      <w:lvlJc w:val="left"/>
      <w:pPr>
        <w:ind w:hanging="360" w:left="2160"/>
        <w:tabs>
          <w:tab w:val="left" w:pos="2160" w:leader="none"/>
        </w:tabs>
      </w:pPr>
      <w:rPr>
        <w:rFonts w:ascii="Wingdings" w:hAnsi="Wingdings"/>
      </w:rPr>
    </w:lvl>
    <w:lvl w:ilvl="3" w:tplc="36E89628">
      <w:start w:val="1"/>
      <w:numFmt w:val="bullet"/>
      <w:suff w:val="tab"/>
      <w:lvlText w:val=""/>
      <w:lvlJc w:val="left"/>
      <w:pPr>
        <w:ind w:hanging="360" w:left="2880"/>
        <w:tabs>
          <w:tab w:val="left" w:pos="2880" w:leader="none"/>
        </w:tabs>
      </w:pPr>
      <w:rPr>
        <w:rFonts w:ascii="Symbol" w:hAnsi="Symbol"/>
      </w:rPr>
    </w:lvl>
    <w:lvl w:ilvl="4" w:tplc="1DD5C2C6">
      <w:start w:val="1"/>
      <w:numFmt w:val="bullet"/>
      <w:suff w:val="tab"/>
      <w:lvlText w:val="o"/>
      <w:lvlJc w:val="left"/>
      <w:pPr>
        <w:ind w:hanging="360" w:left="3600"/>
        <w:tabs>
          <w:tab w:val="left" w:pos="3600" w:leader="none"/>
        </w:tabs>
      </w:pPr>
      <w:rPr>
        <w:rFonts w:ascii="Courier New" w:hAnsi="Courier New"/>
      </w:rPr>
    </w:lvl>
    <w:lvl w:ilvl="5" w:tplc="637E19E0">
      <w:start w:val="1"/>
      <w:numFmt w:val="bullet"/>
      <w:suff w:val="tab"/>
      <w:lvlText w:val=""/>
      <w:lvlJc w:val="left"/>
      <w:pPr>
        <w:ind w:hanging="360" w:left="4320"/>
        <w:tabs>
          <w:tab w:val="left" w:pos="4320" w:leader="none"/>
        </w:tabs>
      </w:pPr>
      <w:rPr>
        <w:rFonts w:ascii="Wingdings" w:hAnsi="Wingdings"/>
      </w:rPr>
    </w:lvl>
    <w:lvl w:ilvl="6" w:tplc="142707ED">
      <w:start w:val="1"/>
      <w:numFmt w:val="bullet"/>
      <w:suff w:val="tab"/>
      <w:lvlText w:val=""/>
      <w:lvlJc w:val="left"/>
      <w:pPr>
        <w:ind w:hanging="360" w:left="5040"/>
        <w:tabs>
          <w:tab w:val="left" w:pos="5040" w:leader="none"/>
        </w:tabs>
      </w:pPr>
      <w:rPr>
        <w:rFonts w:ascii="Symbol" w:hAnsi="Symbol"/>
      </w:rPr>
    </w:lvl>
    <w:lvl w:ilvl="7" w:tplc="26ADCCB7">
      <w:start w:val="1"/>
      <w:numFmt w:val="bullet"/>
      <w:suff w:val="tab"/>
      <w:lvlText w:val="o"/>
      <w:lvlJc w:val="left"/>
      <w:pPr>
        <w:ind w:hanging="360" w:left="5760"/>
        <w:tabs>
          <w:tab w:val="left" w:pos="5760" w:leader="none"/>
        </w:tabs>
      </w:pPr>
      <w:rPr>
        <w:rFonts w:ascii="Courier New" w:hAnsi="Courier New"/>
      </w:rPr>
    </w:lvl>
    <w:lvl w:ilvl="8" w:tplc="0F5A9CE0">
      <w:start w:val="1"/>
      <w:numFmt w:val="bullet"/>
      <w:suff w:val="tab"/>
      <w:lvlText w:val=""/>
      <w:lvlJc w:val="left"/>
      <w:pPr>
        <w:ind w:hanging="360" w:left="6480"/>
        <w:tabs>
          <w:tab w:val="left" w:pos="6480" w:leader="none"/>
        </w:tabs>
      </w:pPr>
      <w:rPr>
        <w:rFonts w:ascii="Wingdings" w:hAnsi="Wingdings"/>
      </w:rPr>
    </w:lvl>
  </w:abstractNum>
  <w:abstractNum w:abstractNumId="4">
    <w:nsid w:val="527A4AA4"/>
    <w:multiLevelType w:val="multilevel"/>
    <w:lvl w:ilvl="0">
      <w:start w:val="1"/>
      <w:numFmt w:val="lowerLetter"/>
      <w:suff w:val="tab"/>
      <w:lvlText w:val="%1)"/>
      <w:lvlJc w:val="left"/>
      <w:pPr>
        <w:ind w:hanging="360" w:left="1636"/>
        <w:tabs>
          <w:tab w:val="left"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665D5DA7"/>
    <w:multiLevelType w:val="multilevel"/>
    <w:lvl w:ilvl="0">
      <w:start w:val="1"/>
      <w:numFmt w:val="lowerLetter"/>
      <w:suff w:val="tab"/>
      <w:lvlText w:val="%1)"/>
      <w:lvlJc w:val="left"/>
      <w:pPr>
        <w:ind w:hanging="360" w:left="927"/>
        <w:tabs>
          <w:tab w:val="left"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5"/>
  </w:num>
  <w:num w:numId="2">
    <w:abstractNumId w:val="0"/>
  </w:num>
  <w:num w:numId="3">
    <w:abstractNumId w:val="2"/>
  </w:num>
  <w:num w:numId="4">
    <w:abstractNumId w:val="4"/>
  </w:num>
  <w:num w:numId="5">
    <w:abstractNumId w:val="1"/>
  </w:num>
  <w:num w:numId="6">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jc w:val="center"/>
      <w:outlineLvl w:val="0"/>
    </w:pPr>
    <w:rPr>
      <w:b w:val="1"/>
      <w:sz w:val="24"/>
    </w:rPr>
  </w:style>
  <w:style w:type="paragraph" w:styleId="P2">
    <w:name w:val="Título"/>
    <w:basedOn w:val="P0"/>
    <w:next w:val="P2"/>
    <w:pPr>
      <w:jc w:val="center"/>
    </w:pPr>
    <w:rPr>
      <w:sz w:val="24"/>
    </w:rPr>
  </w:style>
  <w:style w:type="paragraph" w:styleId="P3">
    <w:name w:val="Sangría de t. independiente"/>
    <w:basedOn w:val="P0"/>
    <w:next w:val="P3"/>
    <w:pPr>
      <w:ind w:left="567"/>
    </w:pPr>
    <w:rPr>
      <w:sz w:val="24"/>
    </w:rPr>
  </w:style>
  <w:style w:type="paragraph" w:styleId="P4">
    <w:name w:val="Body Text 2"/>
    <w:basedOn w:val="P0"/>
    <w:next w:val="P4"/>
    <w:pPr>
      <w:jc w:val="center"/>
    </w:pPr>
    <w:rPr>
      <w:sz w:val="24"/>
    </w:rPr>
  </w:style>
  <w:style w:type="paragraph" w:styleId="P5">
    <w:name w:val="Texto sin formato"/>
    <w:basedOn w:val="P0"/>
    <w:next w:val="P5"/>
    <w:pPr/>
    <w:rPr>
      <w:rFonts w:ascii="Courier New" w:hAnsi="Courier New"/>
    </w:rPr>
  </w:style>
  <w:style w:type="paragraph" w:styleId="P6">
    <w:name w:val="Sangría 2 de t. independiente"/>
    <w:basedOn w:val="P0"/>
    <w:next w:val="P6"/>
    <w:pPr>
      <w:ind w:hanging="142" w:left="709"/>
      <w:jc w:val="both"/>
    </w:pPr>
    <w:rPr>
      <w:rFonts w:ascii="Courier New" w:hAnsi="Courier New"/>
      <w:sz w:val="24"/>
    </w:rPr>
  </w:style>
  <w:style w:type="paragraph" w:styleId="P7">
    <w:name w:val="Sangría 3 de t. independiente"/>
    <w:basedOn w:val="P0"/>
    <w:next w:val="P7"/>
    <w:pPr>
      <w:ind w:left="709"/>
      <w:jc w:val="both"/>
    </w:pPr>
    <w:rPr>
      <w:rFonts w:ascii="Courier New" w:hAnsi="Courier New"/>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2007-10-01T12:33:00Z</dcterms:created>
  <cp:lastModifiedBy>Ethan Puglia</cp:lastModifiedBy>
  <cp:lastPrinted>2007-09-29T12:41:00Z</cp:lastPrinted>
  <dcterms:modified xsi:type="dcterms:W3CDTF">2019-03-28T17:34:07Z</dcterms:modified>
  <cp:revision>29</cp:revision>
  <dc:title>P R O Y E C T O   D E   O R D E N A N Z A</dc:title>
</cp:coreProperties>
</file>