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BD7E285" Type="http://schemas.openxmlformats.org/officeDocument/2006/relationships/officeDocument" Target="/word/document.xml" /><Relationship Id="coreR2BD7E285"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2"/>
        <w:rPr>
          <w:rStyle w:val="C3"/>
          <w:rFonts w:ascii="Courier New" w:hAnsi="Courier New"/>
          <w:b w:val="1"/>
          <w:u w:val="single"/>
        </w:rPr>
      </w:pPr>
    </w:p>
    <w:p>
      <w:pPr>
        <w:pStyle w:val="P2"/>
        <w:rPr>
          <w:rStyle w:val="C3"/>
          <w:rFonts w:ascii="Courier New" w:hAnsi="Courier New"/>
          <w:b w:val="1"/>
          <w:u w:val="single"/>
        </w:rPr>
      </w:pPr>
      <w:r>
        <w:rPr>
          <w:rStyle w:val="C3"/>
          <w:rFonts w:ascii="Courier New" w:hAnsi="Courier New"/>
          <w:b w:val="1"/>
          <w:u w:val="single"/>
        </w:rPr>
        <w:t>ORDENANZA Nº 7866</w:t>
      </w:r>
    </w:p>
    <w:p>
      <w:pPr>
        <w:jc w:val="center"/>
        <w:rPr>
          <w:rStyle w:val="C3"/>
          <w:rFonts w:ascii="Courier New" w:hAnsi="Courier New"/>
          <w:sz w:val="24"/>
        </w:rPr>
      </w:pPr>
    </w:p>
    <w:p>
      <w:pPr>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Vistos: La Ordenanza Nº 7758 y el Expediente Nº 103/I/03; y</w:t>
      </w:r>
    </w:p>
    <w:p>
      <w:pPr>
        <w:jc w:val="both"/>
        <w:rPr>
          <w:rStyle w:val="C3"/>
          <w:rFonts w:ascii="Courier New" w:hAnsi="Courier New"/>
          <w:sz w:val="24"/>
        </w:rPr>
      </w:pPr>
    </w:p>
    <w:p>
      <w:pPr>
        <w:jc w:val="center"/>
        <w:rPr>
          <w:rStyle w:val="C3"/>
          <w:rFonts w:ascii="Courier New" w:hAnsi="Courier New"/>
          <w:b w:val="1"/>
          <w:sz w:val="24"/>
        </w:rPr>
      </w:pPr>
    </w:p>
    <w:p>
      <w:pPr>
        <w:pStyle w:val="P1"/>
        <w:rPr>
          <w:rStyle w:val="C3"/>
          <w:rFonts w:ascii="Courier New" w:hAnsi="Courier New"/>
        </w:rPr>
      </w:pPr>
      <w:r>
        <w:rPr>
          <w:rStyle w:val="C3"/>
          <w:rFonts w:ascii="Courier New" w:hAnsi="Courier New"/>
        </w:rPr>
        <w:t>C O N S I D E R A N D O</w:t>
      </w:r>
    </w:p>
    <w:p>
      <w:pPr>
        <w:rPr>
          <w:rStyle w:val="C3"/>
          <w:rFonts w:ascii="Courier New" w:hAnsi="Courier New"/>
        </w:rPr>
      </w:pPr>
    </w:p>
    <w:p>
      <w:pPr>
        <w:rPr>
          <w:rStyle w:val="C3"/>
          <w:rFonts w:ascii="Courier New" w:hAnsi="Courier New"/>
          <w:sz w:val="24"/>
        </w:rPr>
      </w:pPr>
    </w:p>
    <w:p>
      <w:pPr>
        <w:pStyle w:val="P3"/>
        <w:ind w:left="709"/>
        <w:jc w:val="both"/>
        <w:rPr>
          <w:rStyle w:val="C3"/>
          <w:rFonts w:ascii="Courier New" w:hAnsi="Courier New"/>
        </w:rPr>
      </w:pPr>
      <w:r>
        <w:rPr>
          <w:rStyle w:val="C3"/>
          <w:rFonts w:ascii="Courier New" w:hAnsi="Courier New"/>
        </w:rPr>
        <w:t>Que en la Ordenanza Nº 7758 se contempló en sus considerandos que parte de la deuda estaba en juicio;</w:t>
      </w:r>
    </w:p>
    <w:p>
      <w:pPr>
        <w:pStyle w:val="P3"/>
        <w:ind w:left="709"/>
        <w:jc w:val="both"/>
        <w:rPr>
          <w:rStyle w:val="C3"/>
          <w:rFonts w:ascii="Courier New" w:hAnsi="Courier New"/>
        </w:rPr>
      </w:pPr>
    </w:p>
    <w:p>
      <w:pPr>
        <w:pStyle w:val="P3"/>
        <w:ind w:left="709"/>
        <w:jc w:val="both"/>
        <w:rPr>
          <w:rStyle w:val="C3"/>
          <w:rFonts w:ascii="Courier New" w:hAnsi="Courier New"/>
        </w:rPr>
      </w:pPr>
      <w:r>
        <w:rPr>
          <w:rStyle w:val="C3"/>
          <w:rFonts w:ascii="Courier New" w:hAnsi="Courier New"/>
        </w:rPr>
        <w:t>Que en los fundamentos que dieron origen a la mencionada Ordenanza existió voluntad de dejar sin efecto dicho juicio;</w:t>
      </w:r>
    </w:p>
    <w:p>
      <w:pPr>
        <w:pStyle w:val="P3"/>
        <w:ind w:left="709"/>
        <w:jc w:val="both"/>
        <w:rPr>
          <w:rStyle w:val="C3"/>
          <w:rFonts w:ascii="Courier New" w:hAnsi="Courier New"/>
        </w:rPr>
      </w:pPr>
    </w:p>
    <w:p>
      <w:pPr>
        <w:pStyle w:val="P3"/>
        <w:ind w:left="709"/>
        <w:jc w:val="both"/>
        <w:rPr>
          <w:rStyle w:val="C3"/>
          <w:rFonts w:ascii="Courier New" w:hAnsi="Courier New"/>
        </w:rPr>
      </w:pPr>
      <w:r>
        <w:rPr>
          <w:rStyle w:val="C3"/>
          <w:rFonts w:ascii="Courier New" w:hAnsi="Courier New"/>
        </w:rPr>
        <w:t>Que en dicha Ordenanza no se resolvió al respecto;</w:t>
      </w:r>
    </w:p>
    <w:p>
      <w:pPr>
        <w:pStyle w:val="P3"/>
        <w:ind w:left="709"/>
        <w:jc w:val="both"/>
        <w:rPr>
          <w:rStyle w:val="C3"/>
          <w:rFonts w:ascii="Courier New" w:hAnsi="Courier New"/>
        </w:rPr>
      </w:pPr>
    </w:p>
    <w:p>
      <w:pPr>
        <w:pStyle w:val="P3"/>
        <w:ind w:left="709"/>
        <w:jc w:val="both"/>
        <w:rPr>
          <w:rStyle w:val="C3"/>
          <w:rFonts w:ascii="Courier New" w:hAnsi="Courier New"/>
        </w:rPr>
      </w:pPr>
      <w:r>
        <w:rPr>
          <w:rStyle w:val="C3"/>
          <w:rFonts w:ascii="Courier New" w:hAnsi="Courier New"/>
        </w:rPr>
        <w:t xml:space="preserve">Que a Fs. 36 Dirección de Ingresos Públicos solicita que se resuelva en tal sentido; </w:t>
      </w:r>
    </w:p>
    <w:p>
      <w:pPr>
        <w:pStyle w:val="P3"/>
        <w:ind w:left="709"/>
        <w:jc w:val="both"/>
        <w:rPr>
          <w:rStyle w:val="C3"/>
          <w:rFonts w:ascii="Courier New" w:hAnsi="Courier New"/>
        </w:rPr>
      </w:pPr>
    </w:p>
    <w:p>
      <w:pPr>
        <w:pStyle w:val="P3"/>
        <w:ind w:left="709"/>
        <w:jc w:val="both"/>
        <w:rPr>
          <w:rStyle w:val="C3"/>
          <w:rFonts w:ascii="Courier New" w:hAnsi="Courier New"/>
        </w:rPr>
      </w:pPr>
      <w:r>
        <w:rPr>
          <w:rStyle w:val="C3"/>
          <w:rFonts w:ascii="Courier New" w:hAnsi="Courier New"/>
        </w:rPr>
        <w:t>Que evaluado el contenido del Expediente mencionado por Comisión de Hacienda, la misma emite despacho en el marco de las Ordenanzas vigentes, despacho aprobado por unanimidad en Sesión Ordinaria de fecha 18 de Octubre de 2007.</w:t>
      </w:r>
    </w:p>
    <w:p>
      <w:pPr>
        <w:pStyle w:val="P3"/>
        <w:jc w:val="center"/>
        <w:rPr>
          <w:rStyle w:val="C3"/>
          <w:rFonts w:ascii="Courier New" w:hAnsi="Courier New"/>
          <w:b w:val="1"/>
        </w:rPr>
      </w:pPr>
    </w:p>
    <w:p>
      <w:pPr>
        <w:pStyle w:val="P3"/>
        <w:jc w:val="center"/>
        <w:rPr>
          <w:rStyle w:val="C3"/>
          <w:rFonts w:ascii="Courier New" w:hAnsi="Courier New"/>
          <w:b w:val="1"/>
        </w:rPr>
      </w:pPr>
    </w:p>
    <w:p>
      <w:pPr>
        <w:pStyle w:val="P3"/>
        <w:jc w:val="center"/>
        <w:rPr>
          <w:rStyle w:val="C3"/>
          <w:rFonts w:ascii="Courier New" w:hAnsi="Courier New"/>
          <w:b w:val="1"/>
        </w:rPr>
      </w:pPr>
    </w:p>
    <w:p>
      <w:pPr>
        <w:pStyle w:val="P3"/>
        <w:jc w:val="center"/>
        <w:rPr>
          <w:rStyle w:val="C3"/>
          <w:rFonts w:ascii="Courier New" w:hAnsi="Courier New"/>
          <w:b w:val="1"/>
        </w:rPr>
      </w:pPr>
      <w:r>
        <w:rPr>
          <w:rStyle w:val="C3"/>
          <w:rFonts w:ascii="Courier New" w:hAnsi="Courier New"/>
          <w:b w:val="1"/>
        </w:rPr>
        <w:t>EL HONORABLE CONCEJO DELIBERANTE DE LA CIUDAD DE</w:t>
      </w:r>
    </w:p>
    <w:p>
      <w:pPr>
        <w:pStyle w:val="P3"/>
        <w:ind w:left="1275"/>
        <w:jc w:val="both"/>
        <w:rPr>
          <w:rStyle w:val="C3"/>
          <w:rFonts w:ascii="Courier New" w:hAnsi="Courier New"/>
          <w:b w:val="1"/>
        </w:rPr>
      </w:pPr>
    </w:p>
    <w:p>
      <w:pPr>
        <w:pStyle w:val="P3"/>
        <w:ind w:left="1275"/>
        <w:jc w:val="both"/>
        <w:rPr>
          <w:rStyle w:val="C3"/>
          <w:rFonts w:ascii="Courier New" w:hAnsi="Courier New"/>
          <w:b w:val="1"/>
        </w:rPr>
      </w:pPr>
    </w:p>
    <w:p>
      <w:pPr>
        <w:pStyle w:val="P3"/>
        <w:ind w:left="1275"/>
        <w:jc w:val="both"/>
        <w:rPr>
          <w:rStyle w:val="C3"/>
          <w:rFonts w:ascii="Courier New" w:hAnsi="Courier New"/>
          <w:b w:val="1"/>
        </w:rPr>
      </w:pPr>
    </w:p>
    <w:p>
      <w:pPr>
        <w:pStyle w:val="P3"/>
        <w:ind w:left="1275"/>
        <w:jc w:val="both"/>
        <w:rPr>
          <w:rStyle w:val="C3"/>
          <w:rFonts w:ascii="Courier New" w:hAnsi="Courier New"/>
          <w:b w:val="1"/>
        </w:rPr>
      </w:pPr>
      <w:r>
        <w:rPr>
          <w:rStyle w:val="C3"/>
          <w:rFonts w:ascii="Courier New" w:hAnsi="Courier New"/>
          <w:b w:val="1"/>
        </w:rPr>
        <w:t>ALTA GRACIA SANCIONA CON FUERZA DE ORDENANZA</w:t>
      </w:r>
    </w:p>
    <w:p>
      <w:pPr>
        <w:pStyle w:val="P3"/>
        <w:ind w:hanging="709" w:left="709"/>
        <w:jc w:val="right"/>
        <w:rPr>
          <w:rStyle w:val="C3"/>
          <w:rFonts w:ascii="Courier New" w:hAnsi="Courier New"/>
        </w:rPr>
      </w:pPr>
    </w:p>
    <w:p>
      <w:pPr>
        <w:pStyle w:val="P3"/>
        <w:ind w:hanging="709" w:left="709"/>
        <w:jc w:val="both"/>
        <w:rPr>
          <w:rStyle w:val="C3"/>
          <w:rFonts w:ascii="Courier New" w:hAnsi="Courier New"/>
          <w:b w:val="1"/>
          <w:u w:val="single"/>
        </w:rPr>
      </w:pPr>
    </w:p>
    <w:p>
      <w:pPr>
        <w:pStyle w:val="P3"/>
        <w:ind w:hanging="709" w:left="709"/>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MODIFÍCASE</w:t>
      </w:r>
      <w:r>
        <w:rPr>
          <w:rStyle w:val="C3"/>
          <w:rFonts w:ascii="Courier New" w:hAnsi="Courier New"/>
        </w:rPr>
        <w:t xml:space="preserve"> la Ordenanza Nº 7758 incorporando el siguiente artículo: </w:t>
      </w:r>
    </w:p>
    <w:p>
      <w:pPr>
        <w:pStyle w:val="P3"/>
        <w:ind w:hanging="1" w:left="709"/>
        <w:jc w:val="both"/>
        <w:rPr>
          <w:rStyle w:val="C3"/>
          <w:rFonts w:ascii="Courier New" w:hAnsi="Courier New"/>
        </w:rPr>
      </w:pPr>
      <w:r>
        <w:rPr>
          <w:rStyle w:val="C3"/>
          <w:rFonts w:ascii="Courier New" w:hAnsi="Courier New"/>
        </w:rPr>
        <w:t>“</w:t>
      </w:r>
      <w:r>
        <w:rPr>
          <w:rStyle w:val="C3"/>
          <w:rFonts w:ascii="Courier New" w:hAnsi="Courier New"/>
          <w:u w:val="single"/>
        </w:rPr>
        <w:t>Art.6</w:t>
      </w:r>
      <w:r>
        <w:rPr>
          <w:rStyle w:val="C3"/>
          <w:rFonts w:ascii="Courier New" w:hAnsi="Courier New"/>
        </w:rPr>
        <w:t>: SOLICÍTASE al Sr. Intendente que interceda ante el procurador actuante a fin de dejar sin efecto juicio y honorarios devengados a los Sres. Laporta Enrique Osvaldo y Medrano Fonseca Alicia Beatriz por la deuda que registra en concepto de Tasa por Servicios a la Propiedad la designación catastral 01-01-375-005-000”.</w:t>
      </w:r>
    </w:p>
    <w:p>
      <w:pPr>
        <w:pStyle w:val="P3"/>
        <w:ind w:hanging="709" w:left="709"/>
        <w:jc w:val="right"/>
        <w:rPr>
          <w:rStyle w:val="C3"/>
          <w:rFonts w:ascii="Courier New" w:hAnsi="Courier New"/>
        </w:rPr>
      </w:pPr>
      <w:r>
        <w:rPr>
          <w:rStyle w:val="C3"/>
          <w:rFonts w:ascii="Courier New" w:hAnsi="Courier New"/>
        </w:rPr>
        <w:t>...///</w:t>
      </w:r>
    </w:p>
    <w:p>
      <w:pPr>
        <w:pStyle w:val="P3"/>
        <w:ind w:hanging="709" w:left="709"/>
        <w:jc w:val="both"/>
        <w:rPr>
          <w:rStyle w:val="C3"/>
          <w:rFonts w:ascii="Courier New" w:hAnsi="Courier New"/>
        </w:rPr>
      </w:pPr>
    </w:p>
    <w:p>
      <w:pPr>
        <w:pStyle w:val="P3"/>
        <w:ind w:hanging="709" w:left="709"/>
        <w:jc w:val="both"/>
        <w:rPr>
          <w:rStyle w:val="C3"/>
          <w:rFonts w:ascii="Courier New" w:hAnsi="Courier New"/>
        </w:rPr>
      </w:pPr>
    </w:p>
    <w:p>
      <w:pPr>
        <w:pStyle w:val="P3"/>
        <w:ind w:hanging="709" w:left="709"/>
        <w:jc w:val="both"/>
        <w:rPr>
          <w:rStyle w:val="C3"/>
          <w:rFonts w:ascii="Courier New" w:hAnsi="Courier New"/>
        </w:rPr>
      </w:pPr>
    </w:p>
    <w:p>
      <w:pPr>
        <w:pStyle w:val="P3"/>
        <w:ind w:hanging="709" w:left="709"/>
        <w:jc w:val="both"/>
        <w:rPr>
          <w:rStyle w:val="C3"/>
          <w:rFonts w:ascii="Courier New" w:hAnsi="Courier New"/>
        </w:rPr>
      </w:pPr>
    </w:p>
    <w:p>
      <w:pPr>
        <w:pStyle w:val="P3"/>
        <w:ind w:hanging="709" w:left="709"/>
        <w:jc w:val="both"/>
        <w:rPr>
          <w:rStyle w:val="C3"/>
          <w:rFonts w:ascii="Courier New" w:hAnsi="Courier New"/>
        </w:rPr>
      </w:pPr>
    </w:p>
    <w:p>
      <w:pPr>
        <w:pStyle w:val="P3"/>
        <w:ind w:hanging="709" w:left="709"/>
        <w:jc w:val="both"/>
        <w:rPr>
          <w:rStyle w:val="C3"/>
          <w:rFonts w:ascii="Courier New" w:hAnsi="Courier New"/>
        </w:rPr>
      </w:pPr>
    </w:p>
    <w:p>
      <w:pPr>
        <w:pStyle w:val="P3"/>
        <w:ind w:hanging="709" w:left="709"/>
        <w:jc w:val="both"/>
        <w:rPr>
          <w:rStyle w:val="C3"/>
          <w:rFonts w:ascii="Courier New" w:hAnsi="Courier New"/>
        </w:rPr>
      </w:pPr>
    </w:p>
    <w:p>
      <w:pPr>
        <w:pStyle w:val="P3"/>
        <w:ind w:hanging="709" w:left="709"/>
        <w:jc w:val="both"/>
        <w:rPr>
          <w:rStyle w:val="C3"/>
          <w:rFonts w:ascii="Courier New" w:hAnsi="Courier New"/>
        </w:rPr>
      </w:pPr>
      <w:r>
        <w:rPr>
          <w:rStyle w:val="C3"/>
          <w:rFonts w:ascii="Courier New" w:hAnsi="Courier New"/>
        </w:rPr>
        <w:t>...///2.-</w:t>
      </w:r>
    </w:p>
    <w:p>
      <w:pPr>
        <w:pStyle w:val="P3"/>
        <w:ind w:hanging="709" w:left="709"/>
        <w:jc w:val="both"/>
        <w:rPr>
          <w:rStyle w:val="C3"/>
          <w:rFonts w:ascii="Courier New" w:hAnsi="Courier New"/>
        </w:rPr>
      </w:pPr>
    </w:p>
    <w:p>
      <w:pPr>
        <w:pStyle w:val="P5"/>
        <w:ind w:hanging="709" w:left="709"/>
        <w:jc w:val="both"/>
        <w:rPr>
          <w:rStyle w:val="C3"/>
          <w:sz w:val="24"/>
        </w:rPr>
      </w:pPr>
      <w:r>
        <w:rPr>
          <w:rStyle w:val="C3"/>
          <w:b w:val="1"/>
          <w:sz w:val="24"/>
          <w:u w:val="single"/>
        </w:rPr>
        <w:t>Art.2</w:t>
      </w:r>
      <w:r>
        <w:rPr>
          <w:rStyle w:val="C3"/>
          <w:b w:val="1"/>
          <w:sz w:val="24"/>
        </w:rPr>
        <w:t>:</w:t>
      </w:r>
      <w:r>
        <w:rPr>
          <w:rStyle w:val="C3"/>
          <w:b w:val="1"/>
        </w:rPr>
        <w:t xml:space="preserve"> </w:t>
      </w:r>
      <w:r>
        <w:rPr>
          <w:rStyle w:val="C3"/>
          <w:b w:val="1"/>
          <w:sz w:val="24"/>
        </w:rPr>
        <w:t>PROTOCOLÍCESE</w:t>
      </w:r>
      <w:r>
        <w:rPr>
          <w:rStyle w:val="C3"/>
          <w:sz w:val="24"/>
        </w:rPr>
        <w:t>, comuníquese, publíquese en el Boletín Oficial de la Ciudad de Alta Gracia, transcríbase al libro de Ordenanzas y Archívese.</w:t>
      </w:r>
    </w:p>
    <w:p>
      <w:pPr>
        <w:pStyle w:val="P5"/>
        <w:ind w:hanging="709" w:left="709"/>
        <w:jc w:val="both"/>
        <w:rPr>
          <w:rStyle w:val="C3"/>
          <w:sz w:val="24"/>
        </w:rPr>
      </w:pPr>
    </w:p>
    <w:p>
      <w:pPr>
        <w:pStyle w:val="P5"/>
        <w:ind w:hanging="709" w:left="709"/>
        <w:jc w:val="both"/>
        <w:rPr>
          <w:rStyle w:val="C3"/>
          <w:sz w:val="24"/>
        </w:rPr>
      </w:pPr>
    </w:p>
    <w:p>
      <w:pPr>
        <w:pStyle w:val="P5"/>
        <w:ind w:hanging="709" w:left="709"/>
        <w:jc w:val="both"/>
        <w:rPr>
          <w:rStyle w:val="C3"/>
          <w:sz w:val="24"/>
        </w:rPr>
      </w:pPr>
    </w:p>
    <w:p>
      <w:pPr>
        <w:pStyle w:val="P5"/>
        <w:ind w:hanging="709" w:left="709"/>
        <w:jc w:val="both"/>
        <w:rPr>
          <w:rStyle w:val="C3"/>
          <w:sz w:val="24"/>
        </w:rPr>
      </w:pPr>
    </w:p>
    <w:p>
      <w:pPr>
        <w:pStyle w:val="P3"/>
        <w:ind w:left="0"/>
        <w:jc w:val="both"/>
        <w:rPr>
          <w:rStyle w:val="C3"/>
          <w:rFonts w:ascii="Courier New" w:hAnsi="Courier New"/>
        </w:rPr>
      </w:pPr>
      <w:r>
        <w:rPr>
          <w:rStyle w:val="C3"/>
          <w:rFonts w:ascii="Courier New" w:hAnsi="Courier New"/>
          <w:b w:val="1"/>
        </w:rPr>
        <w:t>DADA EN LA SALA DE SESIONES DEL HONORABLE CONCEJO DELIBERANTE A LOS DIECIOCHO DÍAS DEL MES DE OCTUBRE DEL AÑO DOS MIL SIETE.</w:t>
      </w:r>
    </w:p>
    <w:sectPr>
      <w:type w:val="nextPage"/>
      <w:pgSz w:w="11907" w:h="16840" w:code="0"/>
      <w:pgMar w:left="1701" w:right="1701" w:top="1418" w:bottom="1418" w:header="708" w:footer="708"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left"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left"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4AF85567"/>
    <w:multiLevelType w:val="multilevel"/>
    <w:lvl w:ilvl="0">
      <w:start w:val="1"/>
      <w:numFmt w:val="upperLetter"/>
      <w:suff w:val="tab"/>
      <w:lvlText w:val="%1)"/>
      <w:lvlJc w:val="left"/>
      <w:pPr>
        <w:ind w:hanging="525" w:left="1233"/>
        <w:tabs>
          <w:tab w:val="left" w:pos="1233" w:leader="none"/>
        </w:tabs>
      </w:pPr>
      <w:rPr/>
    </w:lvl>
    <w:lvl w:ilvl="1">
      <w:start w:val="1"/>
      <w:numFmt w:val="lowerLetter"/>
      <w:suff w:val="tab"/>
      <w:lvlText w:val="%2."/>
      <w:lvlJc w:val="left"/>
      <w:pPr>
        <w:ind w:hanging="360" w:left="1788"/>
        <w:tabs>
          <w:tab w:val="left" w:pos="1788" w:leader="none"/>
        </w:tabs>
      </w:pPr>
      <w:rPr/>
    </w:lvl>
    <w:lvl w:ilvl="2">
      <w:start w:val="1"/>
      <w:numFmt w:val="lowerRoman"/>
      <w:suff w:val="tab"/>
      <w:lvlText w:val="%3."/>
      <w:lvlJc w:val="right"/>
      <w:pPr>
        <w:ind w:hanging="180" w:left="2508"/>
        <w:tabs>
          <w:tab w:val="left" w:pos="2508" w:leader="none"/>
        </w:tabs>
      </w:pPr>
      <w:rPr/>
    </w:lvl>
    <w:lvl w:ilvl="3">
      <w:start w:val="1"/>
      <w:numFmt w:val="decimal"/>
      <w:suff w:val="tab"/>
      <w:lvlText w:val="%4."/>
      <w:lvlJc w:val="left"/>
      <w:pPr>
        <w:ind w:hanging="360" w:left="3228"/>
        <w:tabs>
          <w:tab w:val="left" w:pos="3228" w:leader="none"/>
        </w:tabs>
      </w:pPr>
      <w:rPr/>
    </w:lvl>
    <w:lvl w:ilvl="4">
      <w:start w:val="1"/>
      <w:numFmt w:val="lowerLetter"/>
      <w:suff w:val="tab"/>
      <w:lvlText w:val="%5."/>
      <w:lvlJc w:val="left"/>
      <w:pPr>
        <w:ind w:hanging="360" w:left="3948"/>
        <w:tabs>
          <w:tab w:val="left" w:pos="3948" w:leader="none"/>
        </w:tabs>
      </w:pPr>
      <w:rPr/>
    </w:lvl>
    <w:lvl w:ilvl="5">
      <w:start w:val="1"/>
      <w:numFmt w:val="lowerRoman"/>
      <w:suff w:val="tab"/>
      <w:lvlText w:val="%6."/>
      <w:lvlJc w:val="right"/>
      <w:pPr>
        <w:ind w:hanging="180" w:left="4668"/>
        <w:tabs>
          <w:tab w:val="left" w:pos="4668" w:leader="none"/>
        </w:tabs>
      </w:pPr>
      <w:rPr/>
    </w:lvl>
    <w:lvl w:ilvl="6">
      <w:start w:val="1"/>
      <w:numFmt w:val="decimal"/>
      <w:suff w:val="tab"/>
      <w:lvlText w:val="%7."/>
      <w:lvlJc w:val="left"/>
      <w:pPr>
        <w:ind w:hanging="360" w:left="5388"/>
        <w:tabs>
          <w:tab w:val="left" w:pos="5388" w:leader="none"/>
        </w:tabs>
      </w:pPr>
      <w:rPr/>
    </w:lvl>
    <w:lvl w:ilvl="7">
      <w:start w:val="1"/>
      <w:numFmt w:val="lowerLetter"/>
      <w:suff w:val="tab"/>
      <w:lvlText w:val="%8."/>
      <w:lvlJc w:val="left"/>
      <w:pPr>
        <w:ind w:hanging="360" w:left="6108"/>
        <w:tabs>
          <w:tab w:val="left" w:pos="6108" w:leader="none"/>
        </w:tabs>
      </w:pPr>
      <w:rPr/>
    </w:lvl>
    <w:lvl w:ilvl="8">
      <w:start w:val="1"/>
      <w:numFmt w:val="lowerRoman"/>
      <w:suff w:val="tab"/>
      <w:lvlText w:val="%9."/>
      <w:lvlJc w:val="right"/>
      <w:pPr>
        <w:ind w:hanging="180" w:left="6828"/>
        <w:tabs>
          <w:tab w:val="left" w:pos="6828" w:leader="none"/>
        </w:tabs>
      </w:pPr>
      <w:rPr/>
    </w:lvl>
  </w:abstractNum>
  <w:abstractNum w:abstractNumId="3">
    <w:nsid w:val="527A4AA4"/>
    <w:multiLevelType w:val="multilevel"/>
    <w:lvl w:ilvl="0">
      <w:start w:val="1"/>
      <w:numFmt w:val="lowerLetter"/>
      <w:suff w:val="tab"/>
      <w:lvlText w:val="%1)"/>
      <w:lvlJc w:val="left"/>
      <w:pPr>
        <w:ind w:hanging="360" w:left="1636"/>
        <w:tabs>
          <w:tab w:val="left"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665D5DA7"/>
    <w:multiLevelType w:val="multilevel"/>
    <w:lvl w:ilvl="0">
      <w:start w:val="1"/>
      <w:numFmt w:val="lowerLetter"/>
      <w:suff w:val="tab"/>
      <w:lvlText w:val="%1)"/>
      <w:lvlJc w:val="left"/>
      <w:pPr>
        <w:ind w:hanging="360" w:left="927"/>
        <w:tabs>
          <w:tab w:val="left"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jc w:val="center"/>
      <w:outlineLvl w:val="0"/>
    </w:pPr>
    <w:rPr>
      <w:b w:val="1"/>
      <w:sz w:val="24"/>
    </w:rPr>
  </w:style>
  <w:style w:type="paragraph" w:styleId="P2">
    <w:name w:val="Título"/>
    <w:basedOn w:val="P0"/>
    <w:next w:val="P2"/>
    <w:pPr>
      <w:jc w:val="center"/>
    </w:pPr>
    <w:rPr>
      <w:sz w:val="24"/>
    </w:rPr>
  </w:style>
  <w:style w:type="paragraph" w:styleId="P3">
    <w:name w:val="Sangría de t. independiente"/>
    <w:basedOn w:val="P0"/>
    <w:next w:val="P3"/>
    <w:pPr>
      <w:ind w:left="567"/>
    </w:pPr>
    <w:rPr>
      <w:sz w:val="24"/>
    </w:rPr>
  </w:style>
  <w:style w:type="paragraph" w:styleId="P4">
    <w:name w:val="Body Text 2"/>
    <w:basedOn w:val="P0"/>
    <w:next w:val="P4"/>
    <w:pPr>
      <w:jc w:val="center"/>
    </w:pPr>
    <w:rPr>
      <w:sz w:val="24"/>
    </w:rPr>
  </w:style>
  <w:style w:type="paragraph" w:styleId="P5">
    <w:name w:val="Texto sin formato"/>
    <w:basedOn w:val="P0"/>
    <w:next w:val="P5"/>
    <w:pPr/>
    <w:rPr>
      <w:rFonts w:ascii="Courier New" w:hAnsi="Courier New"/>
    </w:rPr>
  </w:style>
  <w:style w:type="paragraph" w:styleId="P6">
    <w:name w:val="Sangría 2 de t. independiente"/>
    <w:basedOn w:val="P0"/>
    <w:next w:val="P6"/>
    <w:pPr>
      <w:ind w:hanging="142" w:left="709"/>
      <w:jc w:val="both"/>
    </w:pPr>
    <w:rPr>
      <w:rFonts w:ascii="Courier New" w:hAnsi="Courier New"/>
      <w:sz w:val="24"/>
    </w:rPr>
  </w:style>
  <w:style w:type="paragraph" w:styleId="P7">
    <w:name w:val="Sangría 3 de t. independiente"/>
    <w:basedOn w:val="P0"/>
    <w:next w:val="P7"/>
    <w:pPr>
      <w:ind w:left="709"/>
      <w:jc w:val="both"/>
    </w:pPr>
    <w:rPr>
      <w:rFonts w:ascii="Courier New" w:hAnsi="Courier New"/>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2007-10-24T12:36:00Z</dcterms:created>
  <cp:lastModifiedBy>Ethan Puglia</cp:lastModifiedBy>
  <cp:lastPrinted>2007-10-24T12:43:00Z</cp:lastPrinted>
  <dcterms:modified xsi:type="dcterms:W3CDTF">2019-03-28T17:34:07Z</dcterms:modified>
  <cp:revision>4</cp:revision>
  <dc:title>P R O Y E C T O   D E   O R D E N A N Z A</dc:title>
</cp:coreProperties>
</file>