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0768A2D" Type="http://schemas.openxmlformats.org/officeDocument/2006/relationships/officeDocument" Target="/word/document.xml" /><Relationship Id="coreR30768A2D"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r>
        <w:t>ORDENANZA Nº 7938</w:t>
      </w:r>
    </w:p>
    <w:p>
      <w:pPr>
        <w:rPr>
          <w:rStyle w:val="C3"/>
          <w:rFonts w:ascii="Courier New" w:hAnsi="Courier New"/>
          <w:sz w:val="24"/>
        </w:rPr>
      </w:pPr>
    </w:p>
    <w:p>
      <w:pPr>
        <w:rPr>
          <w:rStyle w:val="C3"/>
          <w:rFonts w:ascii="Courier New" w:hAnsi="Courier New"/>
          <w:sz w:val="24"/>
        </w:rPr>
      </w:pPr>
    </w:p>
    <w:p>
      <w:pPr>
        <w:ind w:hanging="567" w:left="567"/>
        <w:jc w:val="both"/>
        <w:rPr>
          <w:rStyle w:val="C3"/>
          <w:rFonts w:ascii="Courier New" w:hAnsi="Courier New"/>
          <w:sz w:val="24"/>
        </w:rPr>
      </w:pPr>
      <w:r>
        <w:rPr>
          <w:rStyle w:val="C3"/>
          <w:rFonts w:ascii="Courier New" w:hAnsi="Courier New"/>
          <w:sz w:val="24"/>
        </w:rPr>
        <w:t>Visto: La Ordenanza Nº 7164, Código de Espectáculos Públicos de la Ciudad de Alta Gracia; y</w:t>
      </w:r>
    </w:p>
    <w:p>
      <w:pPr>
        <w:rPr>
          <w:rStyle w:val="C3"/>
          <w:rFonts w:ascii="Courier New" w:hAnsi="Courier New"/>
          <w:sz w:val="24"/>
        </w:rPr>
      </w:pPr>
    </w:p>
    <w:p>
      <w:pPr>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sz w:val="24"/>
        </w:rPr>
      </w:pPr>
    </w:p>
    <w:p>
      <w:pPr>
        <w:rPr>
          <w:rStyle w:val="C3"/>
          <w:rFonts w:ascii="Courier New" w:hAnsi="Courier New"/>
          <w:sz w:val="24"/>
        </w:rPr>
      </w:pPr>
    </w:p>
    <w:p>
      <w:pPr>
        <w:ind w:left="567"/>
        <w:jc w:val="both"/>
        <w:rPr>
          <w:rStyle w:val="C3"/>
          <w:rFonts w:ascii="Courier New" w:hAnsi="Courier New"/>
          <w:sz w:val="24"/>
        </w:rPr>
      </w:pPr>
      <w:r>
        <w:rPr>
          <w:rStyle w:val="C3"/>
          <w:rFonts w:ascii="Courier New" w:hAnsi="Courier New"/>
          <w:sz w:val="24"/>
        </w:rPr>
        <w:t xml:space="preserve">Que es necesario adecuar la Norma a situaciones que han devenido de su aplicación; </w:t>
      </w:r>
    </w:p>
    <w:p>
      <w:pPr>
        <w:ind w:left="567"/>
        <w:jc w:val="both"/>
        <w:rPr>
          <w:rStyle w:val="C3"/>
          <w:rFonts w:ascii="Courier New" w:hAnsi="Courier New"/>
          <w:sz w:val="24"/>
        </w:rPr>
      </w:pPr>
    </w:p>
    <w:p>
      <w:pPr>
        <w:ind w:left="567"/>
        <w:jc w:val="both"/>
        <w:rPr>
          <w:rStyle w:val="C3"/>
          <w:rFonts w:ascii="Courier New" w:hAnsi="Courier New"/>
          <w:sz w:val="24"/>
        </w:rPr>
      </w:pPr>
      <w:r>
        <w:rPr>
          <w:rStyle w:val="C3"/>
          <w:rFonts w:ascii="Courier New" w:hAnsi="Courier New"/>
          <w:sz w:val="24"/>
        </w:rPr>
        <w:t xml:space="preserve">Que este Honorable Cuerpo se ha tomado un tiempo prudencial, a fin de consensuar con la Autoridad de Aplicación, las reformas que hacen a un uso más eficaz de la misma; </w:t>
      </w:r>
    </w:p>
    <w:p>
      <w:pPr>
        <w:ind w:left="567"/>
        <w:jc w:val="both"/>
        <w:rPr>
          <w:rStyle w:val="C3"/>
          <w:rFonts w:ascii="Courier New" w:hAnsi="Courier New"/>
          <w:sz w:val="24"/>
        </w:rPr>
      </w:pPr>
    </w:p>
    <w:p>
      <w:pPr>
        <w:ind w:left="567"/>
        <w:jc w:val="both"/>
        <w:rPr>
          <w:rStyle w:val="C3"/>
          <w:rFonts w:ascii="Courier New" w:hAnsi="Courier New"/>
          <w:sz w:val="24"/>
        </w:rPr>
      </w:pPr>
      <w:r>
        <w:rPr>
          <w:rStyle w:val="C3"/>
          <w:rFonts w:ascii="Courier New" w:hAnsi="Courier New"/>
          <w:sz w:val="24"/>
        </w:rPr>
        <w:t>Que evaluado el contenido del Proyecto de Ordenanza por la totalidad de los Concejales, se emite despacho favorable aprobado por unanimidad en Sesión Ordinaria de fecha 29 de Noviembre de 2007.</w:t>
      </w:r>
    </w:p>
    <w:p>
      <w:pPr>
        <w:rPr>
          <w:rStyle w:val="C3"/>
          <w:rFonts w:ascii="Courier New" w:hAnsi="Courier New"/>
          <w:sz w:val="24"/>
        </w:rPr>
      </w:pPr>
    </w:p>
    <w:p>
      <w:pPr>
        <w:rPr>
          <w:rStyle w:val="C3"/>
          <w:rFonts w:ascii="Courier New" w:hAnsi="Courier New"/>
          <w:sz w:val="24"/>
        </w:rPr>
      </w:pPr>
    </w:p>
    <w:p>
      <w:pPr>
        <w:jc w:val="center"/>
        <w:rPr>
          <w:rStyle w:val="C3"/>
          <w:rFonts w:ascii="Courier New" w:hAnsi="Courier New"/>
          <w:b w:val="1"/>
          <w:sz w:val="24"/>
        </w:rPr>
      </w:pPr>
      <w:r>
        <w:rPr>
          <w:rStyle w:val="C3"/>
          <w:rFonts w:ascii="Courier New" w:hAnsi="Courier New"/>
          <w:b w:val="1"/>
          <w:sz w:val="24"/>
        </w:rPr>
        <w:t>EL HONORABLE CONCEJO DELIBERANTE DE LA CIUDAD DE</w:t>
      </w:r>
    </w:p>
    <w:p>
      <w:pPr>
        <w:jc w:val="center"/>
        <w:rPr>
          <w:rStyle w:val="C3"/>
          <w:rFonts w:ascii="Courier New" w:hAnsi="Courier New"/>
          <w:b w:val="1"/>
          <w:sz w:val="24"/>
        </w:rPr>
      </w:pPr>
    </w:p>
    <w:p>
      <w:pPr>
        <w:jc w:val="center"/>
        <w:rPr>
          <w:rStyle w:val="C3"/>
          <w:rFonts w:ascii="Courier New" w:hAnsi="Courier New"/>
          <w:b w:val="1"/>
          <w:sz w:val="24"/>
        </w:rPr>
      </w:pPr>
    </w:p>
    <w:p>
      <w:pPr>
        <w:jc w:val="center"/>
        <w:rPr>
          <w:rStyle w:val="C3"/>
          <w:rFonts w:ascii="Courier New" w:hAnsi="Courier New"/>
          <w:sz w:val="24"/>
        </w:rPr>
      </w:pPr>
      <w:r>
        <w:rPr>
          <w:rStyle w:val="C3"/>
          <w:rFonts w:ascii="Courier New" w:hAnsi="Courier New"/>
          <w:b w:val="1"/>
          <w:sz w:val="24"/>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MODIFÍCASE</w:t>
      </w:r>
      <w:r>
        <w:rPr>
          <w:rStyle w:val="C3"/>
          <w:rFonts w:ascii="Courier New" w:hAnsi="Courier New"/>
          <w:sz w:val="24"/>
        </w:rPr>
        <w:t xml:space="preserve"> el Artículo 59, el cual quedará redactado de la siguiente manera: </w:t>
      </w:r>
    </w:p>
    <w:p>
      <w:pPr>
        <w:ind w:left="709"/>
        <w:jc w:val="both"/>
        <w:rPr>
          <w:rStyle w:val="C3"/>
          <w:rFonts w:ascii="Courier New" w:hAnsi="Courier New"/>
          <w:sz w:val="24"/>
        </w:rPr>
      </w:pPr>
      <w:r>
        <w:rPr>
          <w:rStyle w:val="C3"/>
          <w:rFonts w:ascii="Courier New" w:hAnsi="Courier New"/>
          <w:sz w:val="24"/>
        </w:rPr>
        <w:t>“</w:t>
      </w:r>
      <w:r>
        <w:rPr>
          <w:rStyle w:val="C3"/>
          <w:rFonts w:ascii="Courier New" w:hAnsi="Courier New"/>
          <w:sz w:val="24"/>
          <w:u w:val="single"/>
        </w:rPr>
        <w:t>Art. 59</w:t>
      </w:r>
      <w:r>
        <w:rPr>
          <w:rStyle w:val="C3"/>
          <w:rFonts w:ascii="Courier New" w:hAnsi="Courier New"/>
          <w:sz w:val="24"/>
        </w:rPr>
        <w:t xml:space="preserve">: ADHIÉRASE expresamente a las prohibiciones establecidas en las Leyes represivas de los juegos de azar y apuestas prohibidas, Nº 6393, 7855, sus modificatorias y toda otra en vigencia referida a la materia, Normas que se aplicarán en todo lo no previsto en la presente Ordenanza.”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MODIFÍCASE </w:t>
      </w:r>
      <w:r>
        <w:rPr>
          <w:rStyle w:val="C3"/>
          <w:rFonts w:ascii="Courier New" w:hAnsi="Courier New"/>
          <w:sz w:val="24"/>
        </w:rPr>
        <w:t xml:space="preserve">el Artículo 64, el cual quedará redactado de la siguiente manera: </w:t>
      </w:r>
    </w:p>
    <w:p>
      <w:pPr>
        <w:ind w:left="709"/>
        <w:jc w:val="both"/>
        <w:rPr>
          <w:rStyle w:val="C3"/>
          <w:rFonts w:ascii="Courier New" w:hAnsi="Courier New"/>
          <w:sz w:val="24"/>
        </w:rPr>
      </w:pPr>
      <w:r>
        <w:rPr>
          <w:rStyle w:val="C3"/>
          <w:rFonts w:ascii="Courier New" w:hAnsi="Courier New"/>
          <w:sz w:val="24"/>
        </w:rPr>
        <w:t>“</w:t>
      </w:r>
      <w:r>
        <w:rPr>
          <w:rStyle w:val="C3"/>
          <w:rFonts w:ascii="Courier New" w:hAnsi="Courier New"/>
          <w:sz w:val="24"/>
          <w:u w:val="single"/>
        </w:rPr>
        <w:t>Art. 64</w:t>
      </w:r>
      <w:r>
        <w:rPr>
          <w:rStyle w:val="C3"/>
          <w:rFonts w:ascii="Courier New" w:hAnsi="Courier New"/>
          <w:sz w:val="24"/>
        </w:rPr>
        <w:t>: LOS locales y establecimientos descriptos en los Artículos 60 y 60 bis, deberán cumplir los siguientes requisitos:</w:t>
      </w:r>
    </w:p>
    <w:p>
      <w:pPr>
        <w:numPr>
          <w:ilvl w:val="0"/>
          <w:numId w:val="5"/>
        </w:numPr>
        <w:tabs>
          <w:tab w:val="left" w:pos="1134" w:leader="none"/>
          <w:tab w:val="clear" w:pos="1294" w:leader="none"/>
        </w:tabs>
        <w:ind w:hanging="18" w:left="709"/>
        <w:jc w:val="both"/>
        <w:rPr>
          <w:rStyle w:val="C3"/>
          <w:rFonts w:ascii="Courier New" w:hAnsi="Courier New"/>
          <w:sz w:val="24"/>
        </w:rPr>
      </w:pPr>
      <w:r>
        <w:rPr>
          <w:rStyle w:val="C3"/>
          <w:rFonts w:ascii="Courier New" w:hAnsi="Courier New"/>
          <w:sz w:val="24"/>
        </w:rPr>
        <w:t xml:space="preserve">Deberán funcionar en planta baja, con acceso directo desde la vía pública, quedando expresamente prohibida su instalación  en  subsuelos; en  caso  de </w:t>
      </w:r>
    </w:p>
    <w:p>
      <w:pPr>
        <w:ind w:left="709"/>
        <w:jc w:val="right"/>
        <w:rPr>
          <w:rStyle w:val="C3"/>
          <w:rFonts w:ascii="Courier New" w:hAnsi="Courier New"/>
          <w:sz w:val="24"/>
        </w:rPr>
      </w:pPr>
      <w:r>
        <w:rPr>
          <w:rStyle w:val="C3"/>
          <w:rFonts w:ascii="Courier New" w:hAnsi="Courier New"/>
          <w:sz w:val="24"/>
        </w:rPr>
        <w:t>....///</w:t>
      </w:r>
    </w:p>
    <w:p>
      <w:pPr>
        <w:jc w:val="right"/>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left="709"/>
        <w:jc w:val="both"/>
        <w:rPr>
          <w:rStyle w:val="C3"/>
          <w:rFonts w:ascii="Courier New" w:hAnsi="Courier New"/>
          <w:sz w:val="24"/>
        </w:rPr>
      </w:pPr>
      <w:r>
        <w:rPr>
          <w:rStyle w:val="C3"/>
          <w:rFonts w:ascii="Courier New" w:hAnsi="Courier New"/>
          <w:sz w:val="24"/>
        </w:rPr>
        <w:t>tratarse de plantas altas deberá cumplir los requisitos establecidos en el Art. 6 de la presente en lo que fuera pertinente.</w:t>
      </w:r>
    </w:p>
    <w:p>
      <w:pPr>
        <w:ind w:left="709"/>
        <w:jc w:val="both"/>
        <w:rPr>
          <w:rStyle w:val="C3"/>
          <w:rFonts w:ascii="Courier New" w:hAnsi="Courier New"/>
          <w:sz w:val="24"/>
        </w:rPr>
      </w:pPr>
      <w:r>
        <w:rPr>
          <w:rStyle w:val="C3"/>
          <w:rFonts w:ascii="Courier New" w:hAnsi="Courier New"/>
          <w:b w:val="1"/>
          <w:sz w:val="24"/>
        </w:rPr>
        <w:t>b)</w:t>
      </w:r>
      <w:r>
        <w:rPr>
          <w:rStyle w:val="C3"/>
          <w:rFonts w:ascii="Courier New" w:hAnsi="Courier New"/>
          <w:sz w:val="24"/>
        </w:rPr>
        <w:t xml:space="preserve"> Tendrán una superficie mínima que será determinada por la reglamentación de la presente, no pudiendo contabilizarse, a tales efectos, las superficies que ocupen las instalaciones sanitarias y oficinas.</w:t>
      </w:r>
    </w:p>
    <w:p>
      <w:pPr>
        <w:ind w:left="709"/>
        <w:jc w:val="both"/>
        <w:rPr>
          <w:rStyle w:val="C3"/>
          <w:rFonts w:ascii="Courier New" w:hAnsi="Courier New"/>
          <w:sz w:val="24"/>
        </w:rPr>
      </w:pPr>
      <w:r>
        <w:rPr>
          <w:rStyle w:val="C3"/>
          <w:rFonts w:ascii="Courier New" w:hAnsi="Courier New"/>
          <w:b w:val="1"/>
          <w:sz w:val="24"/>
        </w:rPr>
        <w:t>c)</w:t>
      </w:r>
      <w:r>
        <w:rPr>
          <w:rStyle w:val="C3"/>
          <w:rFonts w:ascii="Courier New" w:hAnsi="Courier New"/>
          <w:sz w:val="24"/>
        </w:rPr>
        <w:t xml:space="preserve"> La instalación de las computadoras deberá hacerse en ámbitos del local que se encuentren a la vista del público, y deberán contar con todos los elementos y filtros necesarios que impidan la generación de interferencias y ruidos que afecten a los vecinos del mismo.</w:t>
      </w:r>
    </w:p>
    <w:p>
      <w:pPr>
        <w:ind w:left="709"/>
        <w:jc w:val="both"/>
        <w:rPr>
          <w:rStyle w:val="C3"/>
          <w:rFonts w:ascii="Courier New" w:hAnsi="Courier New"/>
          <w:sz w:val="24"/>
        </w:rPr>
      </w:pPr>
      <w:r>
        <w:rPr>
          <w:rStyle w:val="C3"/>
          <w:rFonts w:ascii="Courier New" w:hAnsi="Courier New"/>
          <w:b w:val="1"/>
          <w:sz w:val="24"/>
        </w:rPr>
        <w:t>d)</w:t>
      </w:r>
      <w:r>
        <w:rPr>
          <w:rStyle w:val="C3"/>
          <w:rFonts w:ascii="Courier New" w:hAnsi="Courier New"/>
          <w:sz w:val="24"/>
        </w:rPr>
        <w:t xml:space="preserve"> Deberán contar con servicios sanitarios para ambos sexos cuando superen las diez (10) máquinas.</w:t>
      </w:r>
    </w:p>
    <w:p>
      <w:pPr>
        <w:ind w:left="709"/>
        <w:jc w:val="both"/>
        <w:rPr>
          <w:rStyle w:val="C3"/>
          <w:rFonts w:ascii="Courier New" w:hAnsi="Courier New"/>
          <w:sz w:val="24"/>
        </w:rPr>
      </w:pPr>
      <w:r>
        <w:rPr>
          <w:rStyle w:val="C3"/>
          <w:rFonts w:ascii="Courier New" w:hAnsi="Courier New"/>
          <w:b w:val="1"/>
          <w:sz w:val="24"/>
        </w:rPr>
        <w:t>e)</w:t>
      </w:r>
      <w:r>
        <w:rPr>
          <w:rStyle w:val="C3"/>
          <w:rFonts w:ascii="Courier New" w:hAnsi="Courier New"/>
          <w:sz w:val="24"/>
        </w:rPr>
        <w:t xml:space="preserve"> Deberá destinarse un mínimo de superficie para cada máquina a instalar, que será determinado por la reglamentación pertinente.</w:t>
      </w:r>
    </w:p>
    <w:p>
      <w:pPr>
        <w:ind w:left="709"/>
        <w:jc w:val="both"/>
        <w:rPr>
          <w:rStyle w:val="C3"/>
          <w:rFonts w:ascii="Courier New" w:hAnsi="Courier New"/>
          <w:sz w:val="24"/>
        </w:rPr>
      </w:pPr>
      <w:r>
        <w:rPr>
          <w:rStyle w:val="C3"/>
          <w:rFonts w:ascii="Courier New" w:hAnsi="Courier New"/>
          <w:b w:val="1"/>
          <w:sz w:val="24"/>
        </w:rPr>
        <w:t>f)</w:t>
      </w:r>
      <w:r>
        <w:rPr>
          <w:rStyle w:val="C3"/>
          <w:rFonts w:ascii="Courier New" w:hAnsi="Courier New"/>
          <w:sz w:val="24"/>
        </w:rPr>
        <w:t xml:space="preserve"> Deberá contar con ventilación adecuada y permanente, conforme las exigencias del Código de Edificación vigente.</w:t>
      </w:r>
    </w:p>
    <w:p>
      <w:pPr>
        <w:ind w:left="709"/>
        <w:jc w:val="both"/>
        <w:rPr>
          <w:rStyle w:val="C3"/>
          <w:rFonts w:ascii="Courier New" w:hAnsi="Courier New"/>
          <w:sz w:val="24"/>
        </w:rPr>
      </w:pPr>
      <w:r>
        <w:rPr>
          <w:rStyle w:val="C3"/>
          <w:rFonts w:ascii="Courier New" w:hAnsi="Courier New"/>
          <w:b w:val="1"/>
          <w:sz w:val="24"/>
        </w:rPr>
        <w:t>g)</w:t>
      </w:r>
      <w:r>
        <w:rPr>
          <w:rStyle w:val="C3"/>
          <w:rFonts w:ascii="Courier New" w:hAnsi="Courier New"/>
          <w:sz w:val="24"/>
        </w:rPr>
        <w:t xml:space="preserve"> Preferentemente no deberá tener comunicación con otros locales y otras actividades conexas y/o complementarias y sólo se permitirá el expendio de bebidas sin alcohol, a excepción del local habilitado como cyber-bar.</w:t>
      </w:r>
    </w:p>
    <w:p>
      <w:pPr>
        <w:ind w:left="709"/>
        <w:jc w:val="both"/>
        <w:rPr>
          <w:rStyle w:val="C3"/>
          <w:rFonts w:ascii="Courier New" w:hAnsi="Courier New"/>
          <w:sz w:val="24"/>
        </w:rPr>
      </w:pPr>
      <w:r>
        <w:rPr>
          <w:rStyle w:val="C3"/>
          <w:rFonts w:ascii="Courier New" w:hAnsi="Courier New"/>
          <w:b w:val="1"/>
          <w:sz w:val="24"/>
        </w:rPr>
        <w:t>h)</w:t>
      </w:r>
      <w:r>
        <w:rPr>
          <w:rStyle w:val="C3"/>
          <w:rFonts w:ascii="Courier New" w:hAnsi="Courier New"/>
          <w:sz w:val="24"/>
        </w:rPr>
        <w:t xml:space="preserve"> Los empleadores deberán exigir a quienes hayan de cumplir funciones en estos locales, certificado de antecedentes y libreta sanitaria.</w:t>
      </w:r>
    </w:p>
    <w:p>
      <w:pPr>
        <w:ind w:hanging="1" w:left="709"/>
        <w:jc w:val="both"/>
        <w:rPr>
          <w:rStyle w:val="C3"/>
          <w:rFonts w:ascii="Courier New" w:hAnsi="Courier New"/>
          <w:sz w:val="24"/>
          <w:u w:val="single"/>
        </w:rPr>
      </w:pPr>
      <w:r>
        <w:rPr>
          <w:rStyle w:val="C3"/>
          <w:rFonts w:ascii="Courier New" w:hAnsi="Courier New"/>
          <w:b w:val="1"/>
          <w:sz w:val="24"/>
        </w:rPr>
        <w:t>i)</w:t>
      </w:r>
      <w:r>
        <w:rPr>
          <w:rStyle w:val="C3"/>
          <w:rFonts w:ascii="Courier New" w:hAnsi="Courier New"/>
          <w:sz w:val="24"/>
        </w:rPr>
        <w:t xml:space="preserve"> No se permitirá el ingreso a escolares con uniforme o útiles en horario escolar.”     </w:t>
      </w:r>
    </w:p>
    <w:p>
      <w:pPr>
        <w:jc w:val="both"/>
        <w:rPr>
          <w:rStyle w:val="C3"/>
          <w:rFonts w:ascii="Courier New" w:hAnsi="Courier New"/>
          <w:sz w:val="24"/>
        </w:rPr>
      </w:pPr>
    </w:p>
    <w:p>
      <w:pPr>
        <w:pStyle w:val="P9"/>
        <w:ind w:hanging="709" w:left="709"/>
        <w:rPr>
          <w:rStyle w:val="C3"/>
          <w:b w:val="1"/>
        </w:rPr>
      </w:pPr>
      <w:r>
        <w:rPr>
          <w:rStyle w:val="C3"/>
          <w:u w:val="single"/>
        </w:rPr>
        <w:t>Art.3</w:t>
      </w:r>
      <w:r>
        <w:t xml:space="preserve">: MODIFÍCASE </w:t>
      </w:r>
      <w:r>
        <w:rPr>
          <w:rStyle w:val="C3"/>
          <w:b w:val="0"/>
        </w:rPr>
        <w:t xml:space="preserve">el Artículo 67 el cual quedará redactado  de la siguiente manera:</w:t>
      </w:r>
    </w:p>
    <w:p>
      <w:pPr>
        <w:pStyle w:val="P9"/>
        <w:ind w:left="709"/>
        <w:rPr>
          <w:rStyle w:val="C3"/>
          <w:b w:val="1"/>
        </w:rPr>
      </w:pPr>
      <w:r>
        <w:rPr>
          <w:rStyle w:val="C3"/>
          <w:b w:val="0"/>
        </w:rPr>
        <w:t>“</w:t>
      </w:r>
      <w:r>
        <w:rPr>
          <w:rStyle w:val="C3"/>
          <w:b w:val="0"/>
          <w:u w:val="single"/>
        </w:rPr>
        <w:t>Art.67</w:t>
      </w:r>
      <w:r>
        <w:rPr>
          <w:rStyle w:val="C3"/>
          <w:b w:val="0"/>
        </w:rPr>
        <w:t xml:space="preserve">: EN todos los casos la Autoridad de Aplicación constatará las infracciones mediante actas que elevará a los Tribunales Administrativos de Faltas de la Municipalidad de Alta Gracia o, en su caso, a los Organismos Competentes de la Provincia de Córdoba regulados por el Código de Faltas de la Provincia.” </w:t>
      </w:r>
    </w:p>
    <w:p>
      <w:pPr>
        <w:pStyle w:val="P9"/>
        <w:ind w:hanging="709" w:left="709"/>
        <w:rPr>
          <w:rStyle w:val="C3"/>
          <w:u w:val="single"/>
        </w:rPr>
      </w:pPr>
    </w:p>
    <w:p>
      <w:pPr>
        <w:pStyle w:val="P9"/>
        <w:ind w:hanging="709" w:left="709"/>
        <w:rPr>
          <w:rStyle w:val="C3"/>
          <w:b w:val="1"/>
        </w:rPr>
      </w:pPr>
      <w:r>
        <w:rPr>
          <w:rStyle w:val="C3"/>
          <w:u w:val="single"/>
        </w:rPr>
        <w:t>Art.4</w:t>
      </w:r>
      <w:r>
        <w:t xml:space="preserve">: MODIFÍCASE </w:t>
      </w:r>
      <w:r>
        <w:rPr>
          <w:rStyle w:val="C3"/>
          <w:b w:val="0"/>
        </w:rPr>
        <w:t xml:space="preserve">el Artículo 72 el cual quedará redactado de la siguiente manera: </w:t>
      </w:r>
    </w:p>
    <w:p>
      <w:pPr>
        <w:ind w:left="709"/>
        <w:jc w:val="right"/>
        <w:rPr>
          <w:rStyle w:val="C3"/>
          <w:rFonts w:ascii="Courier New" w:hAnsi="Courier New"/>
          <w:sz w:val="24"/>
        </w:rPr>
      </w:pPr>
      <w:r>
        <w:rPr>
          <w:rStyle w:val="C3"/>
          <w:rFonts w:ascii="Courier New" w:hAnsi="Courier New"/>
          <w:sz w:val="24"/>
        </w:rPr>
        <w:t>...///</w:t>
      </w:r>
    </w:p>
    <w:p>
      <w:pPr>
        <w:pStyle w:val="P9"/>
        <w:ind w:hanging="709" w:left="709"/>
        <w:rPr>
          <w:rStyle w:val="C3"/>
          <w:b w:val="1"/>
        </w:rPr>
      </w:pPr>
    </w:p>
    <w:p>
      <w:pPr>
        <w:pStyle w:val="P9"/>
        <w:ind w:hanging="709" w:left="709"/>
        <w:rPr>
          <w:rStyle w:val="C3"/>
          <w:b w:val="1"/>
        </w:rPr>
      </w:pPr>
    </w:p>
    <w:p>
      <w:pPr>
        <w:pStyle w:val="P9"/>
        <w:ind w:hanging="709" w:left="709"/>
        <w:rPr>
          <w:rStyle w:val="C3"/>
          <w:b w:val="1"/>
        </w:rPr>
      </w:pPr>
    </w:p>
    <w:p>
      <w:pPr>
        <w:pStyle w:val="P9"/>
        <w:ind w:hanging="709" w:left="709"/>
        <w:rPr>
          <w:rStyle w:val="C3"/>
          <w:b w:val="1"/>
        </w:rPr>
      </w:pPr>
    </w:p>
    <w:p>
      <w:pPr>
        <w:pStyle w:val="P9"/>
        <w:ind w:hanging="709" w:left="709"/>
        <w:rPr>
          <w:rStyle w:val="C3"/>
          <w:b w:val="1"/>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...///3.-</w:t>
      </w:r>
    </w:p>
    <w:p>
      <w:pPr>
        <w:pStyle w:val="P9"/>
        <w:ind w:left="709"/>
        <w:rPr>
          <w:rStyle w:val="C3"/>
          <w:b w:val="1"/>
        </w:rPr>
      </w:pPr>
      <w:r>
        <w:rPr>
          <w:rStyle w:val="C3"/>
          <w:b w:val="0"/>
        </w:rPr>
        <w:t>“</w:t>
      </w:r>
      <w:r>
        <w:rPr>
          <w:rStyle w:val="C3"/>
          <w:b w:val="0"/>
          <w:u w:val="single"/>
        </w:rPr>
        <w:t>Art.72</w:t>
      </w:r>
      <w:r>
        <w:rPr>
          <w:rStyle w:val="C3"/>
          <w:b w:val="0"/>
        </w:rPr>
        <w:t>: LOS establecimientos que no cumplen los horarios de funcionamiento y los que violen las condiciones de admisión reguladas en los Artículos 68 y 69 de la presente Ordenanza, se harán pasibles de las siguientes sanciones:</w:t>
      </w:r>
    </w:p>
    <w:p>
      <w:pPr>
        <w:ind w:left="709"/>
        <w:jc w:val="both"/>
        <w:rPr>
          <w:rStyle w:val="C3"/>
          <w:rFonts w:ascii="Courier New" w:hAnsi="Courier New"/>
          <w:sz w:val="24"/>
        </w:rPr>
      </w:pPr>
      <w:r>
        <w:rPr>
          <w:rStyle w:val="C3"/>
          <w:rFonts w:ascii="Courier New" w:hAnsi="Courier New"/>
          <w:sz w:val="24"/>
        </w:rPr>
        <w:t>a) Primer Hecho: multa, cuyo mínimo se fija en la suma de pesos trescientos ($300) y el máximo, en la de pesos tres mil ($3000), pudiendo disponerse una clausura de hasta siete (7) días.</w:t>
      </w:r>
    </w:p>
    <w:p>
      <w:pPr>
        <w:ind w:left="709"/>
        <w:jc w:val="both"/>
        <w:rPr>
          <w:rStyle w:val="C3"/>
          <w:rFonts w:ascii="Courier New" w:hAnsi="Courier New"/>
          <w:sz w:val="24"/>
        </w:rPr>
      </w:pPr>
      <w:r>
        <w:rPr>
          <w:rStyle w:val="C3"/>
          <w:rFonts w:ascii="Courier New" w:hAnsi="Courier New"/>
          <w:sz w:val="24"/>
        </w:rPr>
        <w:t>b) Primera reincidencia: multa cuyo mínimo se fija en la suma de pesos un mil ($1000) y el máximo, en la de pesos cuatro mil quinientos ($4500), con clausura de siete (7) a quince (15) días.</w:t>
      </w:r>
    </w:p>
    <w:p>
      <w:pPr>
        <w:ind w:left="709"/>
        <w:jc w:val="both"/>
        <w:rPr>
          <w:rStyle w:val="C3"/>
          <w:rFonts w:ascii="Courier New" w:hAnsi="Courier New"/>
          <w:sz w:val="24"/>
        </w:rPr>
      </w:pPr>
      <w:r>
        <w:rPr>
          <w:rStyle w:val="C3"/>
          <w:rFonts w:ascii="Courier New" w:hAnsi="Courier New"/>
          <w:sz w:val="24"/>
        </w:rPr>
        <w:t>c) Segunda reincidencia: multa, cuyo mínimo se fija en la suma de pesos un mil quinientos ($1500) y el máximo, en la suma de pesos seis mil ($6000), con clausura de quince (15) a treinta (30) días.</w:t>
      </w:r>
    </w:p>
    <w:p>
      <w:pPr>
        <w:pStyle w:val="P8"/>
      </w:pPr>
      <w:r>
        <w:t>d) Posteriores reincidencias: multa, cuyo mínimo se fija en la suma de pesos dos mil ($2000) y el máximo, en la de pesos siete mil ($7000), con clausura de treinta (30) a ciento ochenta (180) días y, en su caso, la revocación de la habilitación.</w:t>
      </w:r>
    </w:p>
    <w:p>
      <w:pPr>
        <w:pStyle w:val="P9"/>
        <w:ind w:hanging="1" w:left="709"/>
        <w:rPr>
          <w:rStyle w:val="C3"/>
          <w:b w:val="1"/>
        </w:rPr>
      </w:pPr>
      <w:r>
        <w:rPr>
          <w:rStyle w:val="C3"/>
          <w:b w:val="0"/>
        </w:rPr>
        <w:t>e) A los fines del cómputo de las reincidencias se tomará el período por el que se hubiera otorgado la habilitación.</w:t>
      </w:r>
    </w:p>
    <w:p>
      <w:pPr>
        <w:pStyle w:val="P9"/>
        <w:ind w:hanging="1" w:left="709"/>
        <w:rPr>
          <w:rStyle w:val="C3"/>
          <w:b w:val="1"/>
        </w:rPr>
      </w:pPr>
    </w:p>
    <w:p>
      <w:pPr>
        <w:pStyle w:val="P9"/>
        <w:ind w:hanging="709" w:left="709"/>
        <w:rPr>
          <w:rStyle w:val="C3"/>
          <w:b w:val="1"/>
        </w:rPr>
      </w:pPr>
      <w:r>
        <w:rPr>
          <w:rStyle w:val="C3"/>
          <w:u w:val="single"/>
        </w:rPr>
        <w:t>Art.5</w:t>
      </w:r>
      <w:r>
        <w:t>: TÉNGASE</w:t>
      </w:r>
      <w:r>
        <w:rPr>
          <w:rStyle w:val="C3"/>
          <w:b w:val="0"/>
        </w:rPr>
        <w:t xml:space="preserve"> la presente Ordenanza como texto ordenando de la Ordenanza N° 7164.</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b w:val="1"/>
          <w:sz w:val="24"/>
        </w:rPr>
        <w:t>: PROTOCOLÍCESE</w:t>
      </w:r>
      <w:r>
        <w:rPr>
          <w:rStyle w:val="C3"/>
          <w:rFonts w:ascii="Courier New" w:hAnsi="Courier New"/>
          <w:sz w:val="24"/>
        </w:rPr>
        <w:t>, comuníquese, publíquese en el Boletín Oficial de la Ciudad de Alta Gracia, transcríbase al libro de Ordenanzas y Archívese.</w:t>
      </w:r>
    </w:p>
    <w:p>
      <w:pPr>
        <w:rPr>
          <w:rStyle w:val="C3"/>
          <w:rFonts w:ascii="Courier New" w:hAnsi="Courier New"/>
          <w:sz w:val="24"/>
        </w:rPr>
      </w:pPr>
    </w:p>
    <w:p>
      <w:pPr>
        <w:rPr>
          <w:rStyle w:val="C3"/>
          <w:rFonts w:ascii="Courier New" w:hAnsi="Courier New"/>
          <w:sz w:val="24"/>
        </w:rPr>
      </w:pPr>
    </w:p>
    <w:p>
      <w:pPr>
        <w:pStyle w:val="P9"/>
      </w:pPr>
      <w:r>
        <w:t>DADA EN LA SALA DE SESIONES DEL HONORABLE CONCEJO DELIBERANTE A LOS VEINTINUEVE DÍAS DEL MES DE NOVIEMBRE DEL AÑO DOS MIL SIETE.</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left"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left"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9462246"/>
    <w:multiLevelType w:val="multilevel"/>
    <w:lvl w:ilvl="0">
      <w:start w:val="1"/>
      <w:numFmt w:val="lowerLetter"/>
      <w:suff w:val="tab"/>
      <w:lvlText w:val="%1)"/>
      <w:lvlJc w:val="left"/>
      <w:pPr>
        <w:ind w:hanging="585" w:left="1294"/>
        <w:tabs>
          <w:tab w:val="left" w:pos="1294" w:leader="none"/>
        </w:tabs>
      </w:pPr>
      <w:rPr>
        <w:b w:val="1"/>
      </w:rPr>
    </w:lvl>
    <w:lvl w:ilvl="1">
      <w:start w:val="1"/>
      <w:numFmt w:val="lowerLetter"/>
      <w:suff w:val="tab"/>
      <w:lvlText w:val="%2."/>
      <w:lvlJc w:val="left"/>
      <w:pPr>
        <w:ind w:hanging="360" w:left="1789"/>
        <w:tabs>
          <w:tab w:val="left" w:pos="1789" w:leader="none"/>
        </w:tabs>
      </w:pPr>
      <w:rPr/>
    </w:lvl>
    <w:lvl w:ilvl="2">
      <w:start w:val="1"/>
      <w:numFmt w:val="lowerRoman"/>
      <w:suff w:val="tab"/>
      <w:lvlText w:val="%3."/>
      <w:lvlJc w:val="right"/>
      <w:pPr>
        <w:ind w:hanging="180" w:left="2509"/>
        <w:tabs>
          <w:tab w:val="left" w:pos="2509" w:leader="none"/>
        </w:tabs>
      </w:pPr>
      <w:rPr/>
    </w:lvl>
    <w:lvl w:ilvl="3">
      <w:start w:val="1"/>
      <w:numFmt w:val="decimal"/>
      <w:suff w:val="tab"/>
      <w:lvlText w:val="%4."/>
      <w:lvlJc w:val="left"/>
      <w:pPr>
        <w:ind w:hanging="360" w:left="3229"/>
        <w:tabs>
          <w:tab w:val="left" w:pos="3229" w:leader="none"/>
        </w:tabs>
      </w:pPr>
      <w:rPr/>
    </w:lvl>
    <w:lvl w:ilvl="4">
      <w:start w:val="1"/>
      <w:numFmt w:val="lowerLetter"/>
      <w:suff w:val="tab"/>
      <w:lvlText w:val="%5."/>
      <w:lvlJc w:val="left"/>
      <w:pPr>
        <w:ind w:hanging="360" w:left="3949"/>
        <w:tabs>
          <w:tab w:val="left" w:pos="3949" w:leader="none"/>
        </w:tabs>
      </w:pPr>
      <w:rPr/>
    </w:lvl>
    <w:lvl w:ilvl="5">
      <w:start w:val="1"/>
      <w:numFmt w:val="lowerRoman"/>
      <w:suff w:val="tab"/>
      <w:lvlText w:val="%6."/>
      <w:lvlJc w:val="right"/>
      <w:pPr>
        <w:ind w:hanging="180" w:left="4669"/>
        <w:tabs>
          <w:tab w:val="left" w:pos="4669" w:leader="none"/>
        </w:tabs>
      </w:pPr>
      <w:rPr/>
    </w:lvl>
    <w:lvl w:ilvl="6">
      <w:start w:val="1"/>
      <w:numFmt w:val="decimal"/>
      <w:suff w:val="tab"/>
      <w:lvlText w:val="%7."/>
      <w:lvlJc w:val="left"/>
      <w:pPr>
        <w:ind w:hanging="360" w:left="5389"/>
        <w:tabs>
          <w:tab w:val="left" w:pos="5389" w:leader="none"/>
        </w:tabs>
      </w:pPr>
      <w:rPr/>
    </w:lvl>
    <w:lvl w:ilvl="7">
      <w:start w:val="1"/>
      <w:numFmt w:val="lowerLetter"/>
      <w:suff w:val="tab"/>
      <w:lvlText w:val="%8."/>
      <w:lvlJc w:val="left"/>
      <w:pPr>
        <w:ind w:hanging="360" w:left="6109"/>
        <w:tabs>
          <w:tab w:val="left" w:pos="6109" w:leader="none"/>
        </w:tabs>
      </w:pPr>
      <w:rPr/>
    </w:lvl>
    <w:lvl w:ilvl="8">
      <w:start w:val="1"/>
      <w:numFmt w:val="lowerRoman"/>
      <w:suff w:val="tab"/>
      <w:lvlText w:val="%9."/>
      <w:lvlJc w:val="right"/>
      <w:pPr>
        <w:ind w:hanging="180" w:left="6829"/>
        <w:tabs>
          <w:tab w:val="left" w:pos="6829" w:leader="none"/>
        </w:tabs>
      </w:pPr>
      <w:rPr/>
    </w:lvl>
  </w:abstractNum>
  <w:abstractNum w:abstractNumId="4">
    <w:nsid w:val="665D5DA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b w:val="1"/>
      <w:sz w:val="24"/>
    </w:rPr>
  </w:style>
  <w:style w:type="paragraph" w:styleId="P2">
    <w:name w:val="Título 2"/>
    <w:basedOn w:val="P0"/>
    <w:next w:val="P0"/>
    <w:pPr>
      <w:keepNext w:val="1"/>
      <w:jc w:val="center"/>
      <w:outlineLvl w:val="1"/>
    </w:pPr>
    <w:rPr>
      <w:rFonts w:ascii="Courier New" w:hAnsi="Courier New"/>
      <w:b w:val="1"/>
      <w:sz w:val="24"/>
      <w:u w:val="single"/>
    </w:rPr>
  </w:style>
  <w:style w:type="paragraph" w:styleId="P3">
    <w:name w:val="Título"/>
    <w:basedOn w:val="P0"/>
    <w:next w:val="P3"/>
    <w:pPr>
      <w:jc w:val="center"/>
    </w:pPr>
    <w:rPr>
      <w:sz w:val="24"/>
    </w:rPr>
  </w:style>
  <w:style w:type="paragraph" w:styleId="P4">
    <w:name w:val="Sangría de t. independiente"/>
    <w:basedOn w:val="P0"/>
    <w:next w:val="P4"/>
    <w:pPr>
      <w:ind w:left="567"/>
    </w:pPr>
    <w:rPr>
      <w:sz w:val="24"/>
    </w:rPr>
  </w:style>
  <w:style w:type="paragraph" w:styleId="P5">
    <w:name w:val="Body Text 2"/>
    <w:basedOn w:val="P0"/>
    <w:next w:val="P5"/>
    <w:pPr>
      <w:jc w:val="center"/>
    </w:pPr>
    <w:rPr>
      <w:sz w:val="24"/>
    </w:rPr>
  </w:style>
  <w:style w:type="paragraph" w:styleId="P6">
    <w:name w:val="Texto sin formato"/>
    <w:basedOn w:val="P0"/>
    <w:next w:val="P6"/>
    <w:pPr/>
    <w:rPr>
      <w:rFonts w:ascii="Courier New" w:hAnsi="Courier New"/>
    </w:rPr>
  </w:style>
  <w:style w:type="paragraph" w:styleId="P7">
    <w:name w:val="Sangría 2 de t. independiente"/>
    <w:basedOn w:val="P0"/>
    <w:next w:val="P7"/>
    <w:pPr>
      <w:ind w:hanging="142" w:left="709"/>
      <w:jc w:val="both"/>
    </w:pPr>
    <w:rPr>
      <w:rFonts w:ascii="Courier New" w:hAnsi="Courier New"/>
      <w:sz w:val="24"/>
    </w:rPr>
  </w:style>
  <w:style w:type="paragraph" w:styleId="P8">
    <w:name w:val="Sangría 3 de t. independiente"/>
    <w:basedOn w:val="P0"/>
    <w:next w:val="P8"/>
    <w:pPr>
      <w:ind w:left="709"/>
      <w:jc w:val="both"/>
    </w:pPr>
    <w:rPr>
      <w:rFonts w:ascii="Courier New" w:hAnsi="Courier New"/>
      <w:sz w:val="24"/>
    </w:rPr>
  </w:style>
  <w:style w:type="paragraph" w:styleId="P9">
    <w:name w:val="Texto independiente"/>
    <w:basedOn w:val="P0"/>
    <w:next w:val="P9"/>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2007-12-05T10:51:00Z</dcterms:created>
  <cp:lastModifiedBy>Ethan Puglia</cp:lastModifiedBy>
  <cp:lastPrinted>2007-11-28T23:35:00Z</cp:lastPrinted>
  <dcterms:modified xsi:type="dcterms:W3CDTF">2019-03-28T17:34:07Z</dcterms:modified>
  <cp:revision>19</cp:revision>
  <dc:title>P R O Y E C T O   D E   O R D E N A N Z A</dc:title>
</cp:coreProperties>
</file>