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A7A4A6" Type="http://schemas.openxmlformats.org/officeDocument/2006/relationships/officeDocument" Target="/word/document.xml" /><Relationship Id="coreR1BA7A4A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8021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5"/>
      </w:pPr>
      <w:r>
        <w:t>Visto: La utilización de agroquímicos en zonas periurbanas de la ciudad de Alta Gracia; y</w:t>
      </w:r>
    </w:p>
    <w:p>
      <w:pPr>
        <w:pStyle w:val="P5"/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</w:pPr>
      <w:r>
        <w:t xml:space="preserve">Que dada la problemática suscitada ante la práctica realizada por productores agrícolas en los  lugares de mención y la necesidad  de proteger la salud de las personas en  favor de lograr un equilibrio Ciencia Tecnología Sociedad Producción y Ambiente;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</w:pPr>
      <w:r>
        <w:t>Que los vecinos de Alta Gracia han manifestado de manera recurrente su preocupación por la falta de controles efectivos sobre la utilización de Agroquímicos en superficies colindantes con sus domicilios;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</w:pPr>
      <w:r>
        <w:t xml:space="preserve">Que nos encontramos ante una situación de índole mundial con un contexto nacional, provincial y local  particular en relación a la convivencia entre la producción agroindustrial y las poblaciones colindantes con dicha actividad;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</w:pPr>
      <w:r>
        <w:t>Que la Ordenanza Nº 7942-Código de Protección Ambiental de la Ciudad de Alta Gracia-, se manifiesta como un instrumento técnico – político de la administración de esta Ciudad, necesario para identificar e implementar estrategias de ordenamiento urbano en pos de mejorar la calidad de vida de la población y promover un desarrollo ordenado y equitativo de la Ciudad;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mismo Código expresa en su Art.3º inciso (i) que la política ambiental debe basarse en los principios de: 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Prevención, atendiendo prioritariamente a las causas de los problemas que afecten o pudieran alterar el Ambiente, la diversidad biológica, la salud de las personas, y luego a las consecuencias.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Precaución, ya que la falta de certeza científica no puede ser razón para posponer medidas precautorias ante la amenaza de daños graves al ambiente. 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Responsabilidad, de asumir los costos ambientales que resulten de sus actividades para recomponer los daños ambientales y/o para la conservación de bienes y servicios del mismo.</w:t>
      </w:r>
    </w:p>
    <w:p>
      <w:pPr>
        <w:pStyle w:val="P6"/>
      </w:pPr>
      <w:r>
        <w:t xml:space="preserve">Gradualidad, ya que las acciones encaminadas a revertir las causas de la actual situación ambiental se realizaran de forma gradual, atendiendo al cumplimiento </w:t>
      </w:r>
    </w:p>
    <w:p>
      <w:pPr>
        <w:pStyle w:val="P6"/>
        <w:jc w:val="right"/>
      </w:pPr>
      <w:r>
        <w:t>...///</w:t>
      </w:r>
    </w:p>
    <w:p>
      <w:pPr>
        <w:pStyle w:val="P6"/>
      </w:pPr>
    </w:p>
    <w:p>
      <w:pPr>
        <w:pStyle w:val="P6"/>
      </w:pPr>
    </w:p>
    <w:p>
      <w:pPr>
        <w:pStyle w:val="P6"/>
        <w:ind w:left="0"/>
      </w:pPr>
    </w:p>
    <w:p>
      <w:pPr>
        <w:pStyle w:val="P6"/>
        <w:ind w:left="0"/>
      </w:pPr>
      <w:r>
        <w:t>...///2.-</w:t>
      </w:r>
    </w:p>
    <w:p>
      <w:pPr>
        <w:pStyle w:val="P6"/>
        <w:ind w:left="0"/>
      </w:pPr>
    </w:p>
    <w:p>
      <w:pPr>
        <w:pStyle w:val="P6"/>
      </w:pPr>
      <w:r>
        <w:t>de las metas fijadas, la educación en razón de las demandas y necesidades de la sociedad, de los resultados que se obtengan de la evolución de los conocimientos, de la disponibilidad tecnológica y de la capacidad de acción;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 4º inciso (a) manifiesta:..” que a los efectos del presente código la preservación, conservación, defensa y mejoramiento del Ambiente comprende “el ordenamiento territorial y la planificación del proceso de desarrollo económico y social sostenible, en función de los valores del ambiente”;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algunos de los predios utilizados para cultivos agrícolas  se encuentran dentro del ejido urbano , y que los mismos según el Código de Edificación y Urbanización para la ciudad de Alta Gracia- Ordenanza Nº1294- están categorizados como  Zona Residencial Mixta y Zona Verde Recreacional;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Código de Protección Ambiental de la Ciudad de Alta Gracia tiene como sustento legal, entre otros, el Art.2340 del   Código Civil de la Republica Argentina que expresa  :”..quedan comprendidos entre los bienes públicos: las Calles, plazas, caminos, canales, puentes y cualquier otra obra publica construida para utilidad o comodidad común”;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citado  Código, en su TITULO IV – Áreas protegidas y de conservación. Capitulo I – Disposiciones generales, Articulo 306, expresa que la Municipalidad de Alta Gracia creara y fomentara la creación de espacios con categoría de Ambiente Protegido Especial, local o zonal, cuando tales espacios así lo justifiquen por los valores ambientales que ellos encierran o puedan encerrar (cinturón verde, plazas, plazoletas y parques) a los efectos de Garantizar los espacios públicos verdes y de esparcimiento;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pStyle w:val="P6"/>
      </w:pPr>
      <w:r>
        <w:t xml:space="preserve">Que en su Art. 5º el Estado Municipal garantizara en la ejecución de sus actos de gobierno las siguientes pautas de política ambiental: H) “Las acciones del Estado Municipal y de las personas deberán tener en cuenta los principios de desarrollo sustentable en lo que hace al </w:t>
      </w:r>
    </w:p>
    <w:p>
      <w:pPr>
        <w:pStyle w:val="P6"/>
      </w:pPr>
    </w:p>
    <w:p>
      <w:pPr>
        <w:pStyle w:val="P6"/>
      </w:pPr>
    </w:p>
    <w:p>
      <w:pPr>
        <w:pStyle w:val="P6"/>
      </w:pPr>
    </w:p>
    <w:p>
      <w:pPr>
        <w:pStyle w:val="P6"/>
      </w:pPr>
    </w:p>
    <w:p>
      <w:pPr>
        <w:pStyle w:val="P6"/>
        <w:ind w:left="0"/>
      </w:pPr>
      <w:r>
        <w:t>...///3.-</w:t>
      </w:r>
    </w:p>
    <w:p>
      <w:pPr>
        <w:pStyle w:val="P6"/>
      </w:pPr>
    </w:p>
    <w:p>
      <w:pPr>
        <w:pStyle w:val="P6"/>
      </w:pPr>
      <w:r>
        <w:t>planeamiento y realización de las actividades económicas de cualquier índole”;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espera el estudio del nuevo código de planificación urbana que tendrá influencia de manera directa o indirecta sobre la distribución y utilización del suelo de las zonas periféricas  hoy afectadas;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pStyle w:val="P6"/>
      </w:pPr>
      <w:r>
        <w:t xml:space="preserve">Que el Estado Provincial, ha dictado la Ley Nº 9164 y su Decreto Reglamentario, los que  regulan la utilización de  productos agroquímicos en todo su territorio  , observando intensificando y garantizando el poder de control como indica la disposición de la ley Nacional 25675, según la cual es obligación de estado establecer procedimientos y mecanismos adecuados para la minimización de riesgos ambientales;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Municipalidad de la ciudad de Alta Gracia, oportunamente,  mediante Ordenanza Nº 7942 adhirió a la Ley Provincial de referencia,  suscribiendo convenio ratificado por Decreto Nº 0430/08 del Departamento Ejecutivo; 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 la Dirección de Salud Pública y  Medio Ambiente  de la Municipalidad de Alta Gracia se deberá desarrollar un  estudio epidemiológico sobre el impacto potencial y real  de los efectos  de la aplicación de agroquímicos sobre la salud humana, de suma importancia para la dinámica evolutiva de esta ordenanza;  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entendemos necesario y conveniente avanzar legislando   en pro de lograr se respeten derechos y garantías para las partes comprometidas;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reunido al efecto y analizando el Proyecto de Ordenanza, se decide aprobar por unanimidad en Sesión Ordinaria del día 07 de Mayo de 2008.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...///4.-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REFRENDASE</w:t>
      </w:r>
      <w:r>
        <w:rPr>
          <w:rStyle w:val="C3"/>
          <w:rFonts w:ascii="Courier New" w:hAnsi="Courier New"/>
        </w:rPr>
        <w:t xml:space="preserve"> el Decreto Nº 0430/08, mediante el cual la Municipalidad de Alta Gracia, celebra convenio con  la Secretaria de Agricultura y Ganadería de la Provincia de Córdoba según lo dispuesto en  el Art. 10º de la   Ley Nº 9164.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Art.2:</w:t>
      </w:r>
      <w:r>
        <w:rPr>
          <w:rStyle w:val="C3"/>
          <w:rFonts w:ascii="Courier New" w:hAnsi="Courier New"/>
          <w:b w:val="1"/>
        </w:rPr>
        <w:t xml:space="preserve"> ESTABLÉCESE</w:t>
      </w:r>
      <w:r>
        <w:rPr>
          <w:rStyle w:val="C3"/>
          <w:rFonts w:ascii="Courier New" w:hAnsi="Courier New"/>
        </w:rPr>
        <w:t xml:space="preserve"> como Organismo de  Aplicación de la presente ordenanza,  la Secretaria General de Coordinación Administrativa o la dependencia que en el futuro le correspondiere el tratamiento de los asuntos ambientales.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Art.3:</w:t>
      </w:r>
      <w:r>
        <w:rPr>
          <w:rStyle w:val="C3"/>
          <w:rFonts w:ascii="Courier New" w:hAnsi="Courier New"/>
          <w:b w:val="1"/>
        </w:rPr>
        <w:t xml:space="preserve"> DEBERÁ</w:t>
      </w:r>
      <w:r>
        <w:rPr>
          <w:rStyle w:val="C3"/>
          <w:rFonts w:ascii="Courier New" w:hAnsi="Courier New"/>
        </w:rPr>
        <w:t xml:space="preserve"> el Organismo de Aplicación velar   por el </w:t>
      </w:r>
    </w:p>
    <w:p>
      <w:pPr>
        <w:pStyle w:val="P6"/>
      </w:pPr>
      <w:r>
        <w:t xml:space="preserve">estricto cumplimiento del  Código de Edificación y Urbanización para la ciudad de Alta Gracia,  que regula el uso del suelo y  la zonificación actual (Ordenanza Nº1294) y la que en el futuro se estableciere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Art.4:</w:t>
      </w:r>
      <w:r>
        <w:rPr>
          <w:rStyle w:val="C3"/>
          <w:rFonts w:ascii="Courier New" w:hAnsi="Courier New"/>
          <w:b w:val="1"/>
        </w:rPr>
        <w:t xml:space="preserve"> FIJANSE</w:t>
      </w:r>
      <w:r>
        <w:rPr>
          <w:rStyle w:val="C3"/>
          <w:rFonts w:ascii="Courier New" w:hAnsi="Courier New"/>
        </w:rPr>
        <w:t xml:space="preserve"> como mecanismos de control en superficies ubicadas sobre la zona perimetral de  la ciudad de Alta Gracia, entendiendo como tal, la zona colindante a los asentamientos urbanos, las siguientes: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Obligaciones de la Municipalidad de Alta Gracia: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</w:pPr>
      <w:r>
        <w:t xml:space="preserve">- Crear en su ámbito  un registro de profesionales Ingenieros Agrónomos con habilitación certificada como Asesores Fitosanitarios.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Receptar la receta fitosanitaria con 48 hs de anticipación al momento de la aplicación, aprobando o rechazando dicho permiso solicitado, según ley Provincial 9164 - productos químicos o biológicos de uso agropecuario- y su Decreto Reglamentario -132/05-.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Otorgar al productor una lista en orden de prioridad de 1 a 3 Asesores Fitosanitarios representantes de la zona colindante del lote que recibirá la aplicación.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Realizar auditorias técnicas en el momento en que lo crea necesario y actuar en caso de incumplimiento.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Informar al Centro Vecinal o persona responsable del barrio colindante al lote, día y hora en que se procederá a realizar la aplicación, y actuar de oficio en el caso de que el barrio no tenga representación.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rPr>
          <w:rStyle w:val="C3"/>
          <w:rFonts w:ascii="Courier New" w:hAnsi="Courier New"/>
          <w:b w:val="1"/>
          <w:u w:val="single"/>
        </w:rPr>
      </w:pPr>
    </w:p>
    <w:p>
      <w:pPr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...///5.-</w:t>
      </w:r>
    </w:p>
    <w:p>
      <w:pPr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Obligaciones del Productor o Agricultor</w:t>
      </w:r>
      <w:r>
        <w:rPr>
          <w:rStyle w:val="C3"/>
          <w:rFonts w:ascii="Courier New" w:hAnsi="Courier New"/>
        </w:rPr>
        <w:t>: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Presentar con 48 hs de anticipación al momento de  la aplicación, al organismo municipal establecido en el Art. 2º de la presente: receta fitosanitaria, habilitación de maquina de aplicación y  operador,   a los efectos de evaluar su factibilidad.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Acordar con uno de los tres Asesores Fitosanitarios representante del Barrio colindante al lugar de aplicación, día y hora en que se ejecutara la tarea, para dar lugar a los controles pertinentes.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Presentar la maquina vacía y limpia ante el Asesor Fitosanitario al momento de iniciar la aplicación.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Abonar bajo entrega de factura los honorarios profesionales del asesor fitosanitario.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Obligaciones del Asesor Fitosanitario: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Garantizar el  cumplimiento  estricto de  la Ley 9164 y su Decreto Reglamentario, 132/05-,  haciéndose presente y observando desde el inicio de la actividad ( Maquina Limpia, Bidones nuevos etiquetados sellados y abiertos en presencia del mismo, llenado de maquina) y  hasta el momento en que la aplicación finalice dentro  del área que establece la Ley 9164.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Permanecer entre la zona urbana y el lote que recibe la aplicación, brindando información sobre la actividad que se esta realizando, a toda persona que lo solicite.  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Suspender, modificar o prorrogar la aplicación cuando no se cumpla  la Ley 9164 u ordenanzas municipales, independientemente del momento de evolución que lleve la aplicación.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Informar al Centro Vecinal o persona responsable del barrio colindante al lote, día y hora en que se procederá a realizar la aplicación.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Obligaciones del Centro Vecinal o representante del Barrio colindante con el lote que recibirá la aplicación</w:t>
      </w:r>
      <w:r>
        <w:rPr>
          <w:rStyle w:val="C3"/>
          <w:rFonts w:ascii="Courier New" w:hAnsi="Courier New"/>
          <w:b w:val="1"/>
        </w:rPr>
        <w:t>:</w:t>
      </w:r>
    </w:p>
    <w:p>
      <w:pPr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3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Seleccionar dentro de un plazo de 15 días de creado el Registro de Asesores Fitosanitarios fijado en el Art. 4º, en orden de prioridad de uno a tres asesores, el que será su representante en cada momento en que se realicen aplicaciones que afecten zonas aledañas al mismo.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...///6.-</w:t>
      </w:r>
    </w:p>
    <w:p>
      <w:pPr>
        <w:rPr>
          <w:rStyle w:val="C3"/>
          <w:rFonts w:ascii="Courier New" w:hAnsi="Courier New"/>
        </w:rPr>
      </w:pPr>
    </w:p>
    <w:p>
      <w:pPr>
        <w:pStyle w:val="P7"/>
      </w:pPr>
      <w:r>
        <w:t xml:space="preserve">-En caso de acefalía, no constitución u otras circunstancias en la conformación del Centro Vecinal o  representante del barrio, la Municipalidad de Alta Gracia, realizará de oficio lo determinado ut-supra.   </w:t>
      </w:r>
    </w:p>
    <w:p>
      <w:pPr>
        <w:pStyle w:val="P7"/>
      </w:pPr>
      <w:r>
        <w:t xml:space="preserve">- En caso  que la aplicación planificada no se realice en el termino de 10 días a la aprobación de la receta fitosanitaria, deberá iniciar nuevamente el mecanismo indicado.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Art.5:</w:t>
      </w:r>
      <w:r>
        <w:rPr>
          <w:rStyle w:val="C3"/>
          <w:rFonts w:ascii="Courier New" w:hAnsi="Courier New"/>
          <w:b w:val="1"/>
        </w:rPr>
        <w:t xml:space="preserve"> EXCEPTUASE</w:t>
      </w:r>
      <w:r>
        <w:rPr>
          <w:rStyle w:val="C3"/>
          <w:rFonts w:ascii="Courier New" w:hAnsi="Courier New"/>
        </w:rPr>
        <w:t xml:space="preserve"> la prohibición de aplicar los productos establecidos en la presente ordenanza, cuando la aplicaciones obedezcan a razones de Salud Publica. Dichas aplicaciones deberán estar expresamente autorizadas por  el organismo establecido en el Art.2º de la presente  o por la dependencia o repartición que en el futuro lo reemplace.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Art.6:</w:t>
      </w:r>
      <w:r>
        <w:rPr>
          <w:rStyle w:val="C3"/>
          <w:rFonts w:ascii="Courier New" w:hAnsi="Courier New"/>
          <w:b w:val="1"/>
        </w:rPr>
        <w:t xml:space="preserve"> CONSIDERASE</w:t>
      </w:r>
      <w:r>
        <w:rPr>
          <w:rStyle w:val="C3"/>
          <w:rFonts w:ascii="Courier New" w:hAnsi="Courier New"/>
        </w:rPr>
        <w:t xml:space="preserve"> usuario responsable a toda persona física o jurídica que explote, en forma total o parcial un inmueble con cultivos u otra forma de explotación agropecuaria y/o forestal, con independencia del régimen de tenencia de la tierra, y a todo aquel que se  beneficia con el empleo del producto químico o biológico de uso agropecuario y/o forestal. Dicha responsabilidad se hace extensiva a quienes ejecuten las actividades de utilización de productos agroquímicos mediante el uso de aeronaves y/o maquinas terrestres y/o con otros elementos o formas de aplicación. Los propietarios de los inmuebles involucrados son solidariamente responsables por las infracciones que se cometan.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Art.7:</w:t>
      </w:r>
      <w:r>
        <w:rPr>
          <w:rStyle w:val="C3"/>
          <w:rFonts w:ascii="Courier New" w:hAnsi="Courier New"/>
          <w:b w:val="1"/>
        </w:rPr>
        <w:t xml:space="preserve"> ESTABLÉCESE</w:t>
      </w:r>
      <w:r>
        <w:rPr>
          <w:rStyle w:val="C3"/>
          <w:rFonts w:ascii="Courier New" w:hAnsi="Courier New"/>
        </w:rPr>
        <w:t xml:space="preserve"> como Unidad Multa (UM) el equivalente en moneda de curso legal a un (1) litro de Gas Oil vigente al momento de pago y  SANCIONASE a los infractores de las disposiciones establecidas en la presente ordenanza  con: A) Multa de  Quinientas Unidades  Multa(500 UM) a  Veinticinco mil Unidades  Multa(25000 UM) y secuestro o decomiso de los elementos utilizados para cometer la infracción. B) En caso de primera reincidencia, una multa de  Veinte y Un mil Unidades  Multa(21000 UM) a  Cuarenta mil Unidades  Multa (40000 UM) y secuestro o decomiso de los elementos utilizados para cometer la infracción. C) En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...///7.-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caso de nuevas reincidencias, una multa de Cuarenta y Un mil Unidades  Multa(41000 UM) a  Cincuenta mil Unidades   Multa(50000 UM) mas secuestro o decomiso de los elementos utilizados para cometer la infracción y clausura de la explotación.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Art.8:</w:t>
      </w:r>
      <w:r>
        <w:rPr>
          <w:rStyle w:val="C3"/>
          <w:rFonts w:ascii="Courier New" w:hAnsi="Courier New"/>
          <w:b w:val="1"/>
        </w:rPr>
        <w:t xml:space="preserve"> FACULTASE</w:t>
      </w:r>
      <w:r>
        <w:rPr>
          <w:rStyle w:val="C3"/>
          <w:rFonts w:ascii="Courier New" w:hAnsi="Courier New"/>
        </w:rPr>
        <w:t xml:space="preserve"> al Departamento Ejecutivo Municipal a reglamentar la presente ordenanza en todos aquellos aspectos que resulten necesarios para el pleno cumplimiento de sus fines.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Art.9:</w:t>
      </w:r>
      <w:r>
        <w:rPr>
          <w:rStyle w:val="C3"/>
          <w:rFonts w:ascii="Courier New" w:hAnsi="Courier New"/>
          <w:b w:val="1"/>
        </w:rPr>
        <w:t xml:space="preserve"> INVITASE</w:t>
      </w:r>
      <w:r>
        <w:rPr>
          <w:rStyle w:val="C3"/>
          <w:rFonts w:ascii="Courier New" w:hAnsi="Courier New"/>
        </w:rPr>
        <w:t xml:space="preserve">  a  las comunas pertenecientes al Departamento Santa María y colindantes con la ciudad de Alta Gracia, a emitir,  suscribir, dictar y/o realizar todos los instrumentos y actos  administrativos, resolutivos y/o legislativos    necesarios a los efectos de crear un marco común de aplicación, control y sanción de la normativa que nos ocupa.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Art.10:</w:t>
      </w:r>
      <w:r>
        <w:rPr>
          <w:rStyle w:val="C3"/>
          <w:rFonts w:ascii="Courier New" w:hAnsi="Courier New"/>
        </w:rPr>
        <w:t xml:space="preserve">  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tendrá vigencia a partir de la fecha de su promulgación conforme a lo previsto en el Artículo 24 de la Carta Orgánica Municipal.-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Art.11:</w:t>
      </w:r>
      <w:r>
        <w:rPr>
          <w:rStyle w:val="C3"/>
          <w:rFonts w:ascii="Courier New" w:hAnsi="Courier New"/>
          <w:b w:val="1"/>
        </w:rPr>
        <w:t xml:space="preserve"> PROTOCOLÍCESE</w:t>
      </w:r>
      <w:r>
        <w:rPr>
          <w:rStyle w:val="C3"/>
          <w:rFonts w:ascii="Courier New" w:hAnsi="Courier New"/>
        </w:rPr>
        <w:t>, comuníquese, publíquese en el Boletín Oficial de la Ciudad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8"/>
        <w:rPr>
          <w:rStyle w:val="C3"/>
        </w:rPr>
      </w:pPr>
    </w:p>
    <w:p>
      <w:pPr>
        <w:pStyle w:val="P8"/>
        <w:rPr>
          <w:rStyle w:val="C3"/>
        </w:rPr>
      </w:pPr>
    </w:p>
    <w:p>
      <w:pPr>
        <w:pStyle w:val="P8"/>
        <w:rPr>
          <w:rStyle w:val="C3"/>
        </w:rPr>
      </w:pPr>
    </w:p>
    <w:p>
      <w:pPr>
        <w:pStyle w:val="P8"/>
      </w:pPr>
      <w:r>
        <w:t>DADA EN LA SALA DE SESIONES DEL HONORABLE CONCEJO DELIBERANTE A LOS SIETE DÍAS DEL MES DE MAYO DEL AÑO DOS MIL OCHO.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sectPr>
      <w:type w:val="nextPage"/>
      <w:pgSz w:w="11906" w:h="16838" w:code="0"/>
      <w:pgMar w:left="1701" w:right="1361" w:top="1985" w:bottom="1701" w:header="720" w:footer="720" w:gutter="0"/>
      <w:pgNumType w:start="1"/>
    </w:sectPr>
  </w:body>
</w:document>
</file>

<file path=word/numbering.xml><?xml version="1.0" encoding="utf-8"?>
<w:numbering xmlns:w="http://schemas.openxmlformats.org/wordprocessingml/2006/main">
  <w:abstractNum w:abstractNumId="0">
    <w:nsid w:val="4FC90C4B"/>
    <w:multiLevelType w:val="hybridMultilevel"/>
    <w:lvl w:ilvl="0" w:tplc="3D4FF34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555329E5"/>
    <w:multiLevelType w:val="hybridMultilevel"/>
    <w:lvl w:ilvl="0" w:tplc="08F160C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4D58D5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E88F3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F7EA1D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C1990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8E166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71EE45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93550C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D1EC9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">
    <w:nsid w:val="7E026996"/>
    <w:multiLevelType w:val="hybridMultilevel"/>
    <w:lvl w:ilvl="0" w:tplc="5352170F">
      <w:start w:val="0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A31A21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A0956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3AA8D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555BC0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6190A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2158F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7798F3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AB7F67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exto independiente"/>
    <w:basedOn w:val="P0"/>
    <w:next w:val="P2"/>
    <w:pPr/>
    <w:rPr>
      <w:sz w:val="32"/>
    </w:rPr>
  </w:style>
  <w:style w:type="paragraph" w:styleId="P3">
    <w:name w:val="Body Text 2"/>
    <w:basedOn w:val="P0"/>
    <w:next w:val="P3"/>
    <w:pPr/>
    <w:rPr>
      <w:sz w:val="32"/>
      <w:u w:val="single"/>
    </w:rPr>
  </w:style>
  <w:style w:type="paragraph" w:styleId="P4">
    <w:name w:val="Título"/>
    <w:basedOn w:val="P0"/>
    <w:next w:val="P4"/>
    <w:qFormat/>
    <w:pPr>
      <w:jc w:val="center"/>
    </w:pPr>
    <w:rPr>
      <w:rFonts w:ascii="Courier New" w:hAnsi="Courier New"/>
      <w:b w:val="1"/>
      <w:u w:val="single"/>
    </w:rPr>
  </w:style>
  <w:style w:type="paragraph" w:styleId="P5">
    <w:name w:val="Sangría de texto normal"/>
    <w:basedOn w:val="P0"/>
    <w:next w:val="P5"/>
    <w:pPr>
      <w:ind w:hanging="709" w:left="709"/>
      <w:jc w:val="both"/>
    </w:pPr>
    <w:rPr>
      <w:rFonts w:ascii="Courier New" w:hAnsi="Courier New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rFonts w:ascii="Courier New" w:hAnsi="Courier New"/>
    </w:rPr>
  </w:style>
  <w:style w:type="paragraph" w:styleId="P7">
    <w:name w:val="Sangría 3 de t. independiente"/>
    <w:basedOn w:val="P0"/>
    <w:next w:val="P7"/>
    <w:pPr>
      <w:ind w:left="426"/>
      <w:jc w:val="both"/>
    </w:pPr>
    <w:rPr>
      <w:rFonts w:ascii="Courier New" w:hAnsi="Courier New"/>
    </w:rPr>
  </w:style>
  <w:style w:type="paragraph" w:styleId="P8">
    <w:name w:val="Texto independiente 2"/>
    <w:basedOn w:val="P0"/>
    <w:next w:val="P8"/>
    <w:pPr>
      <w:jc w:val="both"/>
    </w:pPr>
    <w:rPr>
      <w:rFonts w:ascii="Courier New" w:hAnsi="Courier New"/>
      <w:b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Marcelo</dc:creator>
  <dcterms:created xsi:type="dcterms:W3CDTF">2008-06-10T02:21:00Z</dcterms:created>
  <cp:lastModifiedBy>Ethan Puglia</cp:lastModifiedBy>
  <cp:lastPrinted>2008-06-10T02:43:00Z</cp:lastPrinted>
  <dcterms:modified xsi:type="dcterms:W3CDTF">2019-03-28T17:34:07Z</dcterms:modified>
  <cp:revision>9</cp:revision>
  <dc:title>Proyecto de Ordenanza</dc:title>
</cp:coreProperties>
</file>