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426788D" Type="http://schemas.openxmlformats.org/officeDocument/2006/relationships/officeDocument" Target="/word/document.xml" /><Relationship Id="coreR6426788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b w:val="1"/>
        </w:rPr>
      </w:pPr>
    </w:p>
    <w:p>
      <w:pPr>
        <w:pStyle w:val="P2"/>
        <w:jc w:val="center"/>
        <w:rPr>
          <w:rStyle w:val="C3"/>
          <w:rFonts w:ascii="Courier New" w:hAnsi="Courier New"/>
          <w:b w:val="1"/>
          <w:u w:val="single"/>
        </w:rPr>
      </w:pPr>
      <w:r>
        <w:rPr>
          <w:rStyle w:val="C3"/>
          <w:rFonts w:ascii="Courier New" w:hAnsi="Courier New"/>
          <w:b w:val="1"/>
          <w:u w:val="single"/>
        </w:rPr>
        <w:t xml:space="preserve">ORDENANZA  N° 8206</w:t>
      </w:r>
    </w:p>
    <w:p>
      <w:pPr>
        <w:jc w:val="center"/>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3"/>
        <w:ind w:hanging="561" w:left="561"/>
        <w:jc w:val="both"/>
        <w:rPr>
          <w:rStyle w:val="C3"/>
          <w:rFonts w:ascii="Courier New" w:hAnsi="Courier New"/>
          <w:b w:val="1"/>
        </w:rPr>
      </w:pPr>
      <w:r>
        <w:rPr>
          <w:rStyle w:val="C3"/>
          <w:rFonts w:ascii="Courier New" w:hAnsi="Courier New"/>
          <w:b w:val="0"/>
        </w:rPr>
        <w:t>Visto: El</w:t>
      </w:r>
      <w:r>
        <w:rPr>
          <w:rStyle w:val="C3"/>
          <w:rFonts w:ascii="Courier New" w:hAnsi="Courier New"/>
        </w:rPr>
        <w:t xml:space="preserve">  </w:t>
      </w:r>
      <w:r>
        <w:rPr>
          <w:rStyle w:val="C3"/>
          <w:rFonts w:ascii="Courier New" w:hAnsi="Courier New"/>
          <w:b w:val="0"/>
        </w:rPr>
        <w:t>predio denominado “Solares Del Palmar”, propiedad del Estado Municipal; y</w:t>
      </w:r>
    </w:p>
    <w:p>
      <w:pPr>
        <w:jc w:val="center"/>
        <w:rPr>
          <w:rStyle w:val="C3"/>
          <w:rFonts w:ascii="Courier New" w:hAnsi="Courier New"/>
        </w:rPr>
      </w:pPr>
    </w:p>
    <w:p>
      <w:pPr>
        <w:jc w:val="center"/>
        <w:rPr>
          <w:rStyle w:val="C3"/>
          <w:rFonts w:ascii="Courier New" w:hAnsi="Courier New"/>
        </w:rPr>
      </w:pPr>
    </w:p>
    <w:p>
      <w:pPr>
        <w:pStyle w:val="P3"/>
        <w:rPr>
          <w:rStyle w:val="C3"/>
          <w:rFonts w:ascii="Courier New" w:hAnsi="Courier New"/>
        </w:rPr>
      </w:pPr>
      <w:r>
        <w:rPr>
          <w:rStyle w:val="C3"/>
          <w:rFonts w:ascii="Courier New" w:hAnsi="Courier New"/>
        </w:rPr>
        <w:t>C O N S I D E R A N D O</w:t>
      </w:r>
    </w:p>
    <w:p>
      <w:pPr>
        <w:jc w:val="center"/>
        <w:rPr>
          <w:rStyle w:val="C3"/>
          <w:rFonts w:ascii="Courier New" w:hAnsi="Courier New"/>
        </w:rPr>
      </w:pPr>
    </w:p>
    <w:p>
      <w:pPr>
        <w:pStyle w:val="P11"/>
      </w:pPr>
      <w:r>
        <w:t xml:space="preserve">Que es necesario generar en dicho inmueble  un proyecto de urbanización, con el objetivo de captar inversores para el desarrollo turístico sustentable y el bien de la comunidad;</w:t>
      </w:r>
    </w:p>
    <w:p>
      <w:pPr>
        <w:ind w:left="561"/>
        <w:jc w:val="both"/>
        <w:rPr>
          <w:rStyle w:val="C3"/>
          <w:rFonts w:ascii="Courier New" w:hAnsi="Courier New"/>
          <w:b w:val="1"/>
        </w:rPr>
      </w:pPr>
    </w:p>
    <w:p>
      <w:pPr>
        <w:ind w:left="561"/>
        <w:jc w:val="both"/>
        <w:rPr>
          <w:rStyle w:val="C3"/>
          <w:rFonts w:ascii="Courier New" w:hAnsi="Courier New"/>
        </w:rPr>
      </w:pPr>
      <w:r>
        <w:rPr>
          <w:rStyle w:val="C3"/>
          <w:rFonts w:ascii="Courier New" w:hAnsi="Courier New"/>
        </w:rPr>
        <w:t>Que existen Ordenanzas y Expedientes sobre el tema, factibles de evaluar a los efectos planteados, de acuerdo a lo siguiente: Ordenanza Nº 5008/00, Ordenanza Nº 7501/06, Expediente Nº 264/I/07, Expediente Nº 362/I/07, Expedientes Nº 1196/06 y N° 1124/bis/06;</w:t>
      </w:r>
    </w:p>
    <w:p>
      <w:pPr>
        <w:ind w:left="561"/>
        <w:jc w:val="both"/>
        <w:rPr>
          <w:rStyle w:val="C3"/>
          <w:rFonts w:ascii="Courier New" w:hAnsi="Courier New"/>
          <w:b w:val="1"/>
        </w:rPr>
      </w:pPr>
    </w:p>
    <w:p>
      <w:pPr>
        <w:pStyle w:val="P7"/>
        <w:ind w:left="561"/>
        <w:jc w:val="both"/>
        <w:rPr>
          <w:rStyle w:val="C3"/>
          <w:b w:val="1"/>
        </w:rPr>
      </w:pPr>
      <w:r>
        <w:rPr>
          <w:rStyle w:val="C3"/>
          <w:b w:val="0"/>
        </w:rPr>
        <w:t xml:space="preserve">Que el predio de referencia, se encuentra ubicado al noroeste de la planta urbana de la Ciudad de Alta Gracia, limitando al norte con calle Monseñor  J. Roldán, al oeste con calle Las Flores, al Sur con calle Rawson,  al este con  Ruta C45 y calle Lucas V. Córdoba;</w:t>
      </w:r>
    </w:p>
    <w:p>
      <w:pPr>
        <w:pStyle w:val="P6"/>
        <w:ind w:left="561"/>
        <w:rPr>
          <w:rStyle w:val="C3"/>
          <w:b w:val="1"/>
        </w:rPr>
      </w:pPr>
    </w:p>
    <w:p>
      <w:pPr>
        <w:pStyle w:val="P6"/>
        <w:ind w:left="561"/>
      </w:pPr>
      <w:r>
        <w:t>Que es conveniente dotar a la Ciudad de Alta Gracia, en función de las demandas actuales, de infraestructura y equipamiento de servicios turísticos, recreativos, deportivos, residenciales y culturales, para lo cual el Estado Municipal promueve el sitio a los fines de la captación de inversores;</w:t>
      </w:r>
    </w:p>
    <w:p>
      <w:pPr>
        <w:pStyle w:val="P6"/>
        <w:ind w:left="561"/>
      </w:pPr>
    </w:p>
    <w:p>
      <w:pPr>
        <w:pStyle w:val="P6"/>
        <w:ind w:left="561"/>
      </w:pPr>
      <w:r>
        <w:t>Que las ofertas a estimular, con respecto a las factibles inversiones, deben responder a requerimientos de Alta Gama, y a la puesta en valor de las condiciones ambientales, paisajísticas y patrimoniales, en función de los recursos y atractivos genuinos que contiene la Ciudad;</w:t>
      </w:r>
    </w:p>
    <w:p>
      <w:pPr>
        <w:pStyle w:val="P6"/>
        <w:ind w:left="561"/>
      </w:pPr>
      <w:r>
        <w:t xml:space="preserve"> </w:t>
      </w:r>
    </w:p>
    <w:p>
      <w:pPr>
        <w:ind w:left="561"/>
        <w:jc w:val="both"/>
        <w:rPr>
          <w:rStyle w:val="C3"/>
          <w:rFonts w:ascii="Courier New" w:hAnsi="Courier New"/>
        </w:rPr>
      </w:pPr>
      <w:r>
        <w:rPr>
          <w:rStyle w:val="C3"/>
          <w:rFonts w:ascii="Courier New" w:hAnsi="Courier New"/>
        </w:rPr>
        <w:t xml:space="preserve">Que de acuerdo a la Declaratoria de Patrimonio de la Humanidad, y de la valoración internacional que ello significa,  la  Compañía de Jesús ha dejado una huella </w:t>
      </w:r>
    </w:p>
    <w:p>
      <w:pPr>
        <w:pStyle w:val="P9"/>
        <w:ind w:left="561"/>
        <w:rPr>
          <w:rStyle w:val="C3"/>
          <w:rFonts w:ascii="Courier New" w:hAnsi="Courier New"/>
          <w:sz w:val="24"/>
        </w:rPr>
      </w:pPr>
    </w:p>
    <w:p>
      <w:pPr>
        <w:pStyle w:val="P9"/>
        <w:jc w:val="right"/>
        <w:rPr>
          <w:rStyle w:val="C3"/>
          <w:rFonts w:ascii="Courier New" w:hAnsi="Courier New"/>
          <w:sz w:val="24"/>
        </w:rPr>
      </w:pPr>
      <w:r>
        <w:rPr>
          <w:rStyle w:val="C3"/>
          <w:rFonts w:ascii="Courier New" w:hAnsi="Courier New"/>
          <w:sz w:val="24"/>
        </w:rPr>
        <w:t>...///</w:t>
      </w:r>
    </w:p>
    <w:p>
      <w:pPr>
        <w:pStyle w:val="P9"/>
        <w:rPr>
          <w:rStyle w:val="C3"/>
          <w:rFonts w:ascii="Courier New" w:hAnsi="Courier New"/>
          <w:sz w:val="24"/>
        </w:rPr>
      </w:pPr>
    </w:p>
    <w:p>
      <w:pPr>
        <w:pStyle w:val="P9"/>
        <w:rPr>
          <w:rStyle w:val="C3"/>
          <w:rFonts w:ascii="Courier New" w:hAnsi="Courier New"/>
          <w:sz w:val="24"/>
        </w:rPr>
      </w:pPr>
    </w:p>
    <w:p>
      <w:pPr>
        <w:pStyle w:val="P9"/>
        <w:rPr>
          <w:rStyle w:val="C3"/>
          <w:rFonts w:ascii="Courier New" w:hAnsi="Courier New"/>
          <w:sz w:val="24"/>
        </w:rPr>
      </w:pPr>
    </w:p>
    <w:p>
      <w:pPr>
        <w:pStyle w:val="P9"/>
        <w:rPr>
          <w:rStyle w:val="C3"/>
          <w:rFonts w:ascii="Courier New" w:hAnsi="Courier New"/>
          <w:sz w:val="24"/>
        </w:rPr>
      </w:pPr>
    </w:p>
    <w:p>
      <w:pPr>
        <w:pStyle w:val="P9"/>
        <w:rPr>
          <w:rStyle w:val="C3"/>
          <w:rFonts w:ascii="Courier New" w:hAnsi="Courier New"/>
          <w:sz w:val="24"/>
        </w:rPr>
      </w:pPr>
    </w:p>
    <w:p>
      <w:pPr>
        <w:pStyle w:val="P9"/>
        <w:rPr>
          <w:rStyle w:val="C3"/>
          <w:rFonts w:ascii="Courier New" w:hAnsi="Courier New"/>
          <w:sz w:val="24"/>
        </w:rPr>
      </w:pPr>
    </w:p>
    <w:p>
      <w:pPr>
        <w:pStyle w:val="P9"/>
        <w:rPr>
          <w:rStyle w:val="C3"/>
          <w:rFonts w:ascii="Courier New" w:hAnsi="Courier New"/>
          <w:sz w:val="24"/>
        </w:rPr>
      </w:pPr>
      <w:r>
        <w:rPr>
          <w:rStyle w:val="C3"/>
          <w:rFonts w:ascii="Courier New" w:hAnsi="Courier New"/>
          <w:sz w:val="24"/>
        </w:rPr>
        <w:t>...///2.-</w:t>
      </w:r>
    </w:p>
    <w:p>
      <w:pPr>
        <w:ind w:left="561"/>
        <w:jc w:val="both"/>
        <w:rPr>
          <w:rStyle w:val="C3"/>
          <w:rFonts w:ascii="Courier New" w:hAnsi="Courier New"/>
        </w:rPr>
      </w:pPr>
      <w:r>
        <w:rPr>
          <w:rStyle w:val="C3"/>
          <w:rFonts w:ascii="Courier New" w:hAnsi="Courier New"/>
        </w:rPr>
        <w:t xml:space="preserve">indeleble en nuestra Ciudad, y que los Bienes Declarados se encuentran cercanos al predio del cual  se trata;</w:t>
      </w:r>
    </w:p>
    <w:p>
      <w:pPr>
        <w:pStyle w:val="P9"/>
        <w:ind w:left="561"/>
        <w:rPr>
          <w:rStyle w:val="C3"/>
          <w:rFonts w:ascii="Courier New" w:hAnsi="Courier New"/>
          <w:sz w:val="24"/>
        </w:rPr>
      </w:pPr>
    </w:p>
    <w:p>
      <w:pPr>
        <w:pStyle w:val="P9"/>
        <w:ind w:left="561"/>
        <w:rPr>
          <w:rStyle w:val="C3"/>
          <w:rFonts w:ascii="Courier New" w:hAnsi="Courier New"/>
          <w:sz w:val="24"/>
        </w:rPr>
      </w:pPr>
      <w:r>
        <w:rPr>
          <w:rStyle w:val="C3"/>
          <w:rFonts w:ascii="Courier New" w:hAnsi="Courier New"/>
          <w:sz w:val="24"/>
        </w:rPr>
        <w:t>Que el nombre “Solares del Palmar”, por el cual se conoce el predio, no involucra una identificación con las cualidades del sitio;</w:t>
      </w:r>
    </w:p>
    <w:p>
      <w:pPr>
        <w:pStyle w:val="P9"/>
        <w:ind w:left="561"/>
        <w:rPr>
          <w:rStyle w:val="C3"/>
          <w:rFonts w:ascii="Courier New" w:hAnsi="Courier New"/>
          <w:sz w:val="24"/>
        </w:rPr>
      </w:pPr>
    </w:p>
    <w:p>
      <w:pPr>
        <w:pStyle w:val="P9"/>
        <w:ind w:left="561"/>
        <w:rPr>
          <w:rStyle w:val="C3"/>
          <w:rFonts w:ascii="Courier New" w:hAnsi="Courier New"/>
          <w:sz w:val="24"/>
        </w:rPr>
      </w:pPr>
      <w:r>
        <w:rPr>
          <w:rStyle w:val="C3"/>
          <w:rFonts w:ascii="Courier New" w:hAnsi="Courier New"/>
          <w:sz w:val="24"/>
        </w:rPr>
        <w:t xml:space="preserve">Que evaluado el Proyecto de Ordenanza por el Concejo en Comisión, se emite despacho favorable, aprobado por unanimidad en Sesión Ordinaria del día 17 de Septiembre de 2008 </w:t>
      </w:r>
    </w:p>
    <w:p>
      <w:pPr>
        <w:pStyle w:val="P9"/>
        <w:ind w:left="561"/>
        <w:rPr>
          <w:rStyle w:val="C3"/>
          <w:rFonts w:ascii="Courier New" w:hAnsi="Courier New"/>
          <w:sz w:val="24"/>
        </w:rPr>
      </w:pPr>
    </w:p>
    <w:p>
      <w:pPr>
        <w:jc w:val="both"/>
        <w:rPr>
          <w:rStyle w:val="C3"/>
          <w:rFonts w:ascii="Courier New" w:hAnsi="Courier New"/>
        </w:rPr>
      </w:pPr>
      <w:r>
        <w:rPr>
          <w:rStyle w:val="C3"/>
          <w:rFonts w:ascii="Courier New" w:hAnsi="Courier New"/>
        </w:rPr>
        <w:t xml:space="preserve">            </w:t>
      </w:r>
    </w:p>
    <w:p>
      <w:pPr>
        <w:pStyle w:val="P3"/>
        <w:rPr>
          <w:rStyle w:val="C3"/>
          <w:rFonts w:ascii="Courier New" w:hAnsi="Courier New"/>
        </w:rPr>
      </w:pPr>
      <w:r>
        <w:rPr>
          <w:rStyle w:val="C3"/>
          <w:rFonts w:ascii="Courier New" w:hAnsi="Courier New"/>
        </w:rPr>
        <w:t>EL HONORABLE CONCEJO DELIBERANTE DE LA CIUDAD DE</w:t>
      </w:r>
    </w:p>
    <w:p>
      <w:pPr>
        <w:pStyle w:val="P6"/>
        <w:rPr>
          <w:rStyle w:val="C3"/>
          <w:b w:val="1"/>
        </w:rPr>
      </w:pPr>
    </w:p>
    <w:p>
      <w:pPr>
        <w:pStyle w:val="P6"/>
        <w:jc w:val="center"/>
        <w:rPr>
          <w:rStyle w:val="C3"/>
          <w:b w:val="1"/>
        </w:rPr>
      </w:pPr>
      <w:r>
        <w:rPr>
          <w:rStyle w:val="C3"/>
          <w:b w:val="1"/>
        </w:rPr>
        <w:t>ALTA GRACIA SANCIONA CON FUERZA DE ORDENANZA</w:t>
      </w:r>
    </w:p>
    <w:p>
      <w:pPr>
        <w:jc w:val="both"/>
        <w:rPr>
          <w:rStyle w:val="C3"/>
          <w:rFonts w:ascii="Courier New" w:hAnsi="Courier New"/>
          <w:b w:val="1"/>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DESIGNASE </w:t>
      </w:r>
      <w:r>
        <w:rPr>
          <w:rStyle w:val="C3"/>
          <w:rFonts w:ascii="Courier New" w:hAnsi="Courier New"/>
        </w:rPr>
        <w:t xml:space="preserve">con el nombre de “Potrero de Loyola”, en homenaje al fundador de la Orden de la Compañía de Jesús, al predio propiedad del Estado Municipal, conocido hasta el momento con el nombre de “Solares del Palmar” </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 xml:space="preserve">una nueva Planimetría, cuyo plano se adjunta y forma parte de la presente Ordenanza, diseñada teniendo en cuenta los siguientes Usos del Suelo:  Uso Turístico, Uso Mixto Turístico Residencial, ,  Uso Mixto Comercial Turístico Residencial, Uso Recreativo Cultural, Uso Mixto Comercial Turístico, Uso residencial existente, Uso de Servicios de Estacionamiento.</w:t>
      </w:r>
    </w:p>
    <w:p>
      <w:pPr>
        <w:jc w:val="both"/>
        <w:rPr>
          <w:rStyle w:val="C3"/>
          <w:rFonts w:ascii="Courier New" w:hAnsi="Courier New"/>
          <w:u w:val="single"/>
        </w:rPr>
      </w:pPr>
    </w:p>
    <w:p>
      <w:pPr>
        <w:pStyle w:val="P8"/>
        <w:ind w:hanging="561" w:left="561"/>
        <w:rPr>
          <w:rStyle w:val="C3"/>
          <w:b w:val="1"/>
        </w:rPr>
      </w:pPr>
      <w:r>
        <w:rPr>
          <w:rStyle w:val="C3"/>
          <w:u w:val="single"/>
        </w:rPr>
        <w:t>Art.3:</w:t>
      </w:r>
      <w:r>
        <w:t xml:space="preserve"> ESTABLECESE</w:t>
      </w:r>
      <w:r>
        <w:rPr>
          <w:rStyle w:val="C3"/>
          <w:b w:val="0"/>
        </w:rPr>
        <w:t>, de acuerdo al plano de Usos del Suelo adjunto que las superficies asignadas a cada uno de ellos son las siguientes:</w:t>
      </w:r>
    </w:p>
    <w:p>
      <w:pPr>
        <w:pStyle w:val="P8"/>
        <w:rPr>
          <w:rStyle w:val="C3"/>
          <w:b w:val="1"/>
        </w:rPr>
      </w:pPr>
    </w:p>
    <w:p>
      <w:pPr>
        <w:pStyle w:val="P8"/>
        <w:rPr>
          <w:rStyle w:val="C3"/>
          <w:b w:val="1"/>
        </w:rPr>
      </w:pPr>
      <w:r>
        <w:t>a)</w:t>
      </w:r>
      <w:r>
        <w:rPr>
          <w:rStyle w:val="C3"/>
          <w:b w:val="0"/>
        </w:rPr>
        <w:t xml:space="preserve"> </w:t>
      </w:r>
      <w:r>
        <w:t>Uso Turístico :</w:t>
      </w:r>
      <w:r>
        <w:rPr>
          <w:rStyle w:val="C3"/>
          <w:b w:val="0"/>
        </w:rPr>
        <w:t xml:space="preserve"> </w:t>
      </w:r>
    </w:p>
    <w:p>
      <w:pPr>
        <w:pStyle w:val="P8"/>
        <w:ind w:left="561"/>
        <w:rPr>
          <w:rStyle w:val="C3"/>
          <w:b w:val="1"/>
        </w:rPr>
      </w:pPr>
      <w:r>
        <w:rPr>
          <w:rStyle w:val="C3"/>
          <w:b w:val="0"/>
        </w:rPr>
        <w:t>Uso exclusivamente Turístico abarcando el 48 % del predio total.</w:t>
      </w:r>
    </w:p>
    <w:p>
      <w:pPr>
        <w:pStyle w:val="P8"/>
        <w:ind w:left="561"/>
        <w:jc w:val="right"/>
        <w:rPr>
          <w:rStyle w:val="C3"/>
          <w:b w:val="1"/>
        </w:rPr>
      </w:pPr>
      <w:r>
        <w:rPr>
          <w:rStyle w:val="C3"/>
          <w:b w:val="0"/>
        </w:rPr>
        <w:t>...///</w:t>
      </w:r>
    </w:p>
    <w:p>
      <w:pPr>
        <w:pStyle w:val="P8"/>
        <w:ind w:left="561"/>
        <w:rPr>
          <w:rStyle w:val="C3"/>
          <w:b w:val="1"/>
        </w:rPr>
      </w:pPr>
    </w:p>
    <w:p>
      <w:pPr>
        <w:pStyle w:val="P8"/>
        <w:ind w:left="561"/>
        <w:rPr>
          <w:rStyle w:val="C3"/>
          <w:b w:val="1"/>
        </w:rPr>
      </w:pPr>
    </w:p>
    <w:p>
      <w:pPr>
        <w:pStyle w:val="P8"/>
        <w:ind w:left="561"/>
        <w:rPr>
          <w:rStyle w:val="C3"/>
          <w:b w:val="1"/>
        </w:rPr>
      </w:pPr>
    </w:p>
    <w:p>
      <w:pPr>
        <w:pStyle w:val="P8"/>
        <w:ind w:left="561"/>
        <w:rPr>
          <w:rStyle w:val="C3"/>
          <w:b w:val="1"/>
        </w:rPr>
      </w:pPr>
    </w:p>
    <w:p>
      <w:pPr>
        <w:pStyle w:val="P8"/>
        <w:ind w:left="561"/>
        <w:rPr>
          <w:rStyle w:val="C3"/>
          <w:b w:val="1"/>
        </w:rPr>
      </w:pPr>
    </w:p>
    <w:p>
      <w:pPr>
        <w:pStyle w:val="P8"/>
        <w:ind w:left="561"/>
        <w:rPr>
          <w:rStyle w:val="C3"/>
          <w:b w:val="1"/>
        </w:rPr>
      </w:pPr>
    </w:p>
    <w:p>
      <w:pPr>
        <w:pStyle w:val="P8"/>
        <w:ind w:left="561"/>
        <w:rPr>
          <w:rStyle w:val="C3"/>
          <w:b w:val="1"/>
        </w:rPr>
      </w:pPr>
    </w:p>
    <w:p>
      <w:pPr>
        <w:pStyle w:val="P8"/>
        <w:rPr>
          <w:rStyle w:val="C3"/>
          <w:b w:val="1"/>
        </w:rPr>
      </w:pPr>
    </w:p>
    <w:p>
      <w:pPr>
        <w:pStyle w:val="P8"/>
        <w:rPr>
          <w:rStyle w:val="C3"/>
          <w:b w:val="1"/>
        </w:rPr>
      </w:pPr>
      <w:r>
        <w:rPr>
          <w:rStyle w:val="C3"/>
          <w:b w:val="0"/>
        </w:rPr>
        <w:t>...///3.-</w:t>
      </w:r>
    </w:p>
    <w:p>
      <w:pPr>
        <w:pStyle w:val="P8"/>
        <w:ind w:left="561"/>
        <w:rPr>
          <w:rStyle w:val="C3"/>
          <w:b w:val="1"/>
        </w:rPr>
      </w:pPr>
      <w:r>
        <w:rPr>
          <w:rStyle w:val="C3"/>
          <w:b w:val="0"/>
        </w:rPr>
        <w:t>Comprende los Lotes y Superficies siguientes: Lote 1 con 4068,49 m2, Lote 2 con 3859.11 m2, Lote 4 con 4081.73 m2, Lote 5 con 4015.10 m2, Lote 16 con 11.276.97 m2, Lote 25 con 16.144.60 m2, Lote 26 con 13.109.97 m2.</w:t>
      </w:r>
    </w:p>
    <w:p>
      <w:pPr>
        <w:pStyle w:val="P8"/>
        <w:rPr>
          <w:rStyle w:val="C3"/>
          <w:b w:val="1"/>
        </w:rPr>
      </w:pPr>
    </w:p>
    <w:p>
      <w:pPr>
        <w:pStyle w:val="P8"/>
        <w:ind w:left="561"/>
        <w:rPr>
          <w:rStyle w:val="C3"/>
          <w:b w:val="1"/>
        </w:rPr>
      </w:pPr>
      <w:r>
        <w:rPr>
          <w:rStyle w:val="C3"/>
          <w:b w:val="0"/>
        </w:rPr>
        <w:t xml:space="preserve">Las dos manzanas no incluidas dentro de las numeradas se aclara constituyen 2 Cesiones de Derechos ya concretadas por Convenios entre el Estado Municipal y terceros que forman parte de las documentaciones pertenecientes a los Expedientes siguientes: Nº  264/I/06 y los Nº 1196/06 y 1124/Bis/06.-</w:t>
      </w:r>
    </w:p>
    <w:p>
      <w:pPr>
        <w:pStyle w:val="P8"/>
        <w:rPr>
          <w:rStyle w:val="C3"/>
          <w:b w:val="1"/>
        </w:rPr>
      </w:pPr>
    </w:p>
    <w:p>
      <w:pPr>
        <w:pStyle w:val="P8"/>
      </w:pPr>
      <w:r>
        <w:t>b)</w:t>
      </w:r>
      <w:r>
        <w:rPr>
          <w:rStyle w:val="C3"/>
          <w:b w:val="0"/>
        </w:rPr>
        <w:t xml:space="preserve"> </w:t>
      </w:r>
      <w:r>
        <w:t xml:space="preserve">Uso Mixto Turístico Residencial </w:t>
      </w:r>
    </w:p>
    <w:p>
      <w:pPr>
        <w:pStyle w:val="P8"/>
        <w:ind w:left="561"/>
        <w:rPr>
          <w:rStyle w:val="C3"/>
          <w:b w:val="1"/>
        </w:rPr>
      </w:pPr>
      <w:r>
        <w:rPr>
          <w:rStyle w:val="C3"/>
          <w:b w:val="0"/>
        </w:rPr>
        <w:t>Uso Mixto Turístico Residencial abarcando el 36 % del predio total.</w:t>
      </w:r>
    </w:p>
    <w:p>
      <w:pPr>
        <w:pStyle w:val="P8"/>
        <w:rPr>
          <w:rStyle w:val="C3"/>
          <w:b w:val="1"/>
        </w:rPr>
      </w:pPr>
    </w:p>
    <w:p>
      <w:pPr>
        <w:pStyle w:val="P8"/>
        <w:ind w:left="561"/>
        <w:rPr>
          <w:rStyle w:val="C3"/>
          <w:b w:val="1"/>
        </w:rPr>
      </w:pPr>
      <w:r>
        <w:rPr>
          <w:rStyle w:val="C3"/>
          <w:b w:val="0"/>
        </w:rPr>
        <w:t xml:space="preserve">Comprende los Lotes y Superficies siguientes:  Lote 7 con 5402.21 m2, Lote 8 con 6408.56 m2, Lote 14 con 8202.60 m2, Lote 15 con 7662.89 m2, Lote 17 con 7113.42 m2, Lote 18 con 7653.50 m2, Lote 27 con 7009.01 m2, Lote 28 con 6970.49 m2.</w:t>
      </w:r>
    </w:p>
    <w:p>
      <w:pPr>
        <w:pStyle w:val="P8"/>
        <w:rPr>
          <w:rStyle w:val="C3"/>
          <w:b w:val="1"/>
        </w:rPr>
      </w:pPr>
    </w:p>
    <w:p>
      <w:pPr>
        <w:pStyle w:val="P8"/>
      </w:pPr>
      <w:r>
        <w:t>c)</w:t>
      </w:r>
      <w:r>
        <w:rPr>
          <w:rStyle w:val="C3"/>
          <w:b w:val="0"/>
        </w:rPr>
        <w:t xml:space="preserve"> </w:t>
      </w:r>
      <w:r>
        <w:t xml:space="preserve">Uso Mixto Comercial  y Turístico Residencial </w:t>
      </w:r>
    </w:p>
    <w:p>
      <w:pPr>
        <w:pStyle w:val="P8"/>
        <w:ind w:left="561"/>
        <w:rPr>
          <w:rStyle w:val="C3"/>
          <w:b w:val="1"/>
        </w:rPr>
      </w:pPr>
      <w:r>
        <w:rPr>
          <w:rStyle w:val="C3"/>
          <w:b w:val="0"/>
        </w:rPr>
        <w:t xml:space="preserve">Uso Mixto Comercial y  Turístico Residencial abarcando el 14 % del predio total</w:t>
      </w:r>
    </w:p>
    <w:p>
      <w:pPr>
        <w:pStyle w:val="P8"/>
        <w:ind w:left="561"/>
        <w:rPr>
          <w:rStyle w:val="C3"/>
          <w:b w:val="1"/>
        </w:rPr>
      </w:pPr>
      <w:r>
        <w:rPr>
          <w:rStyle w:val="C3"/>
          <w:b w:val="0"/>
        </w:rPr>
        <w:t xml:space="preserve">Comprende los Lotes y Superficies siguientes: Lote 3 con 2610.21 m2, lote 6 con 3995.16 m2, lote 9 con  1550.51 m2, lote 10 con  1618.43 m2, lote 11 con 1589.60 m2, lote 12 con 1537.91 m2, lote 13 con 1495.91, lote 19 con 1530.00 m2, lote 20 con 1428,20 m2, lote 21 con 1540.75 m2, lote 22 con 1276.46, lote 23 con 1478,63 m2, lote 24 con 1492.87 m2.</w:t>
      </w:r>
    </w:p>
    <w:p>
      <w:pPr>
        <w:pStyle w:val="P8"/>
        <w:rPr>
          <w:rStyle w:val="C3"/>
          <w:b w:val="1"/>
        </w:rPr>
      </w:pPr>
    </w:p>
    <w:p>
      <w:pPr>
        <w:pStyle w:val="P8"/>
        <w:ind w:hanging="561" w:left="561"/>
        <w:rPr>
          <w:rStyle w:val="C3"/>
          <w:b w:val="1"/>
        </w:rPr>
      </w:pPr>
      <w:r>
        <w:t>d)Uso Recreativo Cultural:</w:t>
      </w:r>
      <w:r>
        <w:rPr>
          <w:rStyle w:val="C3"/>
          <w:b w:val="0"/>
        </w:rPr>
        <w:t xml:space="preserve"> Con una Superficie de 133.359 m2.</w:t>
      </w:r>
    </w:p>
    <w:p>
      <w:pPr>
        <w:pStyle w:val="P8"/>
        <w:rPr>
          <w:rStyle w:val="C3"/>
          <w:b w:val="1"/>
        </w:rPr>
      </w:pPr>
    </w:p>
    <w:p>
      <w:pPr>
        <w:pStyle w:val="P8"/>
        <w:ind w:hanging="561" w:left="561"/>
        <w:rPr>
          <w:rStyle w:val="C3"/>
          <w:b w:val="1"/>
        </w:rPr>
      </w:pPr>
      <w:r>
        <w:t>e)Uso residencial existente:</w:t>
      </w:r>
      <w:r>
        <w:rPr>
          <w:rStyle w:val="C3"/>
          <w:b w:val="0"/>
        </w:rPr>
        <w:t xml:space="preserve"> Con una Superficie de 28.013 m2.</w:t>
      </w:r>
    </w:p>
    <w:p>
      <w:pPr>
        <w:pStyle w:val="P8"/>
      </w:pPr>
      <w:r>
        <w:t xml:space="preserve"> </w:t>
      </w:r>
    </w:p>
    <w:p>
      <w:pPr>
        <w:pStyle w:val="P8"/>
        <w:ind w:hanging="561" w:left="561"/>
        <w:rPr>
          <w:rStyle w:val="C3"/>
          <w:b w:val="1"/>
        </w:rPr>
      </w:pPr>
      <w:r>
        <w:t xml:space="preserve">f)Uso Servicios de Estacionamiento : </w:t>
      </w:r>
      <w:r>
        <w:rPr>
          <w:rStyle w:val="C3"/>
          <w:b w:val="0"/>
        </w:rPr>
        <w:t>Con una Superficie de 10.963 m2.</w:t>
      </w:r>
    </w:p>
    <w:p>
      <w:pPr>
        <w:pStyle w:val="P8"/>
        <w:jc w:val="right"/>
        <w:rPr>
          <w:rStyle w:val="C3"/>
          <w:b w:val="1"/>
        </w:rPr>
      </w:pPr>
      <w:r>
        <w:rPr>
          <w:rStyle w:val="C3"/>
          <w:b w:val="0"/>
        </w:rPr>
        <w:t>...///</w:t>
      </w:r>
    </w:p>
    <w:p>
      <w:pPr>
        <w:pStyle w:val="P8"/>
        <w:ind w:hanging="561" w:left="561"/>
        <w:rPr>
          <w:rStyle w:val="C3"/>
          <w:u w:val="single"/>
        </w:rPr>
      </w:pPr>
    </w:p>
    <w:p>
      <w:pPr>
        <w:pStyle w:val="P8"/>
        <w:ind w:hanging="561" w:left="561"/>
        <w:rPr>
          <w:rStyle w:val="C3"/>
          <w:u w:val="single"/>
        </w:rPr>
      </w:pPr>
    </w:p>
    <w:p>
      <w:pPr>
        <w:pStyle w:val="P8"/>
        <w:ind w:hanging="561" w:left="561"/>
        <w:rPr>
          <w:rStyle w:val="C3"/>
          <w:u w:val="single"/>
        </w:rPr>
      </w:pPr>
    </w:p>
    <w:p>
      <w:pPr>
        <w:pStyle w:val="P8"/>
        <w:ind w:hanging="561" w:left="561"/>
        <w:rPr>
          <w:rStyle w:val="C3"/>
          <w:u w:val="single"/>
        </w:rPr>
      </w:pPr>
    </w:p>
    <w:p>
      <w:pPr>
        <w:pStyle w:val="P8"/>
        <w:ind w:hanging="561" w:left="561"/>
        <w:rPr>
          <w:rStyle w:val="C3"/>
          <w:u w:val="single"/>
        </w:rPr>
      </w:pPr>
    </w:p>
    <w:p>
      <w:pPr>
        <w:pStyle w:val="P8"/>
        <w:ind w:hanging="561" w:left="561"/>
        <w:rPr>
          <w:rStyle w:val="C3"/>
          <w:u w:val="single"/>
        </w:rPr>
      </w:pPr>
    </w:p>
    <w:p>
      <w:pPr>
        <w:pStyle w:val="P8"/>
        <w:ind w:hanging="561" w:left="561"/>
        <w:rPr>
          <w:rStyle w:val="C3"/>
          <w:b w:val="1"/>
        </w:rPr>
      </w:pPr>
    </w:p>
    <w:p>
      <w:pPr>
        <w:pStyle w:val="P8"/>
        <w:ind w:hanging="561" w:left="561"/>
        <w:rPr>
          <w:rStyle w:val="C3"/>
          <w:u w:val="single"/>
        </w:rPr>
      </w:pPr>
      <w:r>
        <w:rPr>
          <w:rStyle w:val="C3"/>
          <w:b w:val="0"/>
        </w:rPr>
        <w:t>...///4.-</w:t>
      </w:r>
    </w:p>
    <w:p>
      <w:pPr>
        <w:pStyle w:val="P8"/>
        <w:ind w:hanging="561" w:left="561"/>
        <w:rPr>
          <w:rStyle w:val="C3"/>
          <w:b w:val="1"/>
        </w:rPr>
      </w:pPr>
      <w:r>
        <w:rPr>
          <w:rStyle w:val="C3"/>
          <w:u w:val="single"/>
        </w:rPr>
        <w:t>Art.4:</w:t>
      </w:r>
      <w:r>
        <w:t xml:space="preserve"> ESTABLÉCESE </w:t>
      </w:r>
      <w:r>
        <w:rPr>
          <w:rStyle w:val="C3"/>
          <w:b w:val="0"/>
        </w:rPr>
        <w:t xml:space="preserve"> los siguientes índices urbanos a tener en cuenta para el desarrollo de los proyectos de inversión:</w:t>
      </w:r>
    </w:p>
    <w:p>
      <w:pPr>
        <w:pStyle w:val="P8"/>
        <w:rPr>
          <w:rStyle w:val="C3"/>
        </w:rPr>
      </w:pPr>
    </w:p>
    <w:p>
      <w:pPr>
        <w:pStyle w:val="P8"/>
      </w:pPr>
      <w:r>
        <w:t>a)Area Uso Turístico:</w:t>
      </w:r>
    </w:p>
    <w:p>
      <w:pPr>
        <w:pStyle w:val="P8"/>
        <w:ind w:left="561"/>
        <w:rPr>
          <w:rStyle w:val="C3"/>
          <w:b w:val="1"/>
        </w:rPr>
      </w:pPr>
      <w:r>
        <w:rPr>
          <w:rStyle w:val="C3"/>
          <w:b w:val="0"/>
        </w:rPr>
        <w:t xml:space="preserve">1).- FOS: 30%.- FOT: 0.75. FOS Mínimo 15%.  Para Cabañas FOS 15%. FOT 0.4.</w:t>
      </w:r>
    </w:p>
    <w:p>
      <w:pPr>
        <w:pStyle w:val="P8"/>
        <w:ind w:left="561"/>
        <w:rPr>
          <w:rStyle w:val="C3"/>
          <w:b w:val="1"/>
        </w:rPr>
      </w:pPr>
      <w:r>
        <w:rPr>
          <w:rStyle w:val="C3"/>
          <w:b w:val="0"/>
        </w:rPr>
        <w:t xml:space="preserve">2).-Retiros: de frente: 10 ms. Retiros laterales y fondo 8 ms. </w:t>
      </w:r>
    </w:p>
    <w:p>
      <w:pPr>
        <w:pStyle w:val="P8"/>
        <w:ind w:left="561"/>
        <w:rPr>
          <w:rStyle w:val="C3"/>
          <w:b w:val="1"/>
        </w:rPr>
      </w:pPr>
      <w:r>
        <w:rPr>
          <w:rStyle w:val="C3"/>
          <w:b w:val="0"/>
        </w:rPr>
        <w:t>3).- Altura de la edificación: 2 plantas + la 3ª = 30% de la 2ª. 10 ms. máximos totales para todas las construcciones complementarias.</w:t>
      </w:r>
    </w:p>
    <w:p>
      <w:pPr>
        <w:pStyle w:val="P8"/>
        <w:ind w:left="561"/>
        <w:rPr>
          <w:rStyle w:val="C3"/>
          <w:b w:val="1"/>
        </w:rPr>
      </w:pPr>
      <w:r>
        <w:rPr>
          <w:rStyle w:val="C3"/>
          <w:b w:val="0"/>
        </w:rPr>
        <w:t>4).- Diseño arquitectónico de las quintas fachadas, tanques y construcciones salientes en cubierta. Porcentaje de cubiertas inclinadas mínimo un 30%.</w:t>
      </w:r>
    </w:p>
    <w:p>
      <w:pPr>
        <w:pStyle w:val="P8"/>
        <w:ind w:left="561"/>
        <w:rPr>
          <w:rStyle w:val="C3"/>
          <w:b w:val="1"/>
        </w:rPr>
      </w:pPr>
      <w:r>
        <w:rPr>
          <w:rStyle w:val="C3"/>
          <w:b w:val="0"/>
        </w:rPr>
        <w:t>5).- Subdivisiones: no se permitirán.</w:t>
      </w:r>
    </w:p>
    <w:p>
      <w:pPr>
        <w:pStyle w:val="P8"/>
        <w:ind w:left="561"/>
        <w:rPr>
          <w:rStyle w:val="C3"/>
          <w:b w:val="1"/>
        </w:rPr>
      </w:pPr>
      <w:r>
        <w:rPr>
          <w:rStyle w:val="C3"/>
          <w:b w:val="0"/>
        </w:rPr>
        <w:t>6).- Uniones: Se permitirá previa autorización del Departamento Ejecutivo.</w:t>
      </w:r>
    </w:p>
    <w:p>
      <w:pPr>
        <w:pStyle w:val="P8"/>
        <w:ind w:left="561"/>
        <w:rPr>
          <w:rStyle w:val="C3"/>
          <w:b w:val="1"/>
        </w:rPr>
      </w:pPr>
    </w:p>
    <w:p>
      <w:pPr>
        <w:pStyle w:val="P8"/>
      </w:pPr>
      <w:r>
        <w:t>b)Area Uso Mixto Residencial Turístico:</w:t>
      </w:r>
    </w:p>
    <w:p>
      <w:pPr>
        <w:pStyle w:val="P8"/>
        <w:ind w:left="561"/>
        <w:rPr>
          <w:rStyle w:val="C3"/>
          <w:b w:val="1"/>
        </w:rPr>
      </w:pPr>
      <w:r>
        <w:rPr>
          <w:rStyle w:val="C3"/>
          <w:b w:val="0"/>
        </w:rPr>
        <w:t>1).- FOS 30%. FOT 0.75. FOS mínimo 15%. Para cabañas: FOS 15%. Fot 0.4.</w:t>
      </w:r>
    </w:p>
    <w:p>
      <w:pPr>
        <w:pStyle w:val="P8"/>
        <w:ind w:left="561"/>
        <w:rPr>
          <w:rStyle w:val="C3"/>
          <w:b w:val="1"/>
        </w:rPr>
      </w:pPr>
      <w:r>
        <w:rPr>
          <w:rStyle w:val="C3"/>
          <w:b w:val="0"/>
        </w:rPr>
        <w:t>2).- Retiros: de frente, laterales y de fondo 5 ms.-</w:t>
      </w:r>
    </w:p>
    <w:p>
      <w:pPr>
        <w:pStyle w:val="P8"/>
        <w:ind w:left="561"/>
        <w:rPr>
          <w:rStyle w:val="C3"/>
          <w:b w:val="1"/>
        </w:rPr>
      </w:pPr>
      <w:r>
        <w:rPr>
          <w:rStyle w:val="C3"/>
          <w:b w:val="0"/>
        </w:rPr>
        <w:t>3).- Altura de la edificación: 2 plantas + la 3ª = 30% de la 2ª. 10 ms a 15 ms. Máximo total para techos inclinados y para todas las construcciones complementarias.</w:t>
      </w:r>
    </w:p>
    <w:p>
      <w:pPr>
        <w:pStyle w:val="P8"/>
        <w:ind w:left="561"/>
        <w:rPr>
          <w:rStyle w:val="C3"/>
          <w:b w:val="1"/>
        </w:rPr>
      </w:pPr>
    </w:p>
    <w:p>
      <w:pPr>
        <w:pStyle w:val="P8"/>
      </w:pPr>
      <w:r>
        <w:t>c)Area Uso Mixto Comercial Turístico Residencial:</w:t>
      </w:r>
    </w:p>
    <w:p>
      <w:pPr>
        <w:pStyle w:val="P8"/>
        <w:ind w:left="561"/>
        <w:rPr>
          <w:rStyle w:val="C3"/>
          <w:b w:val="1"/>
        </w:rPr>
      </w:pPr>
      <w:r>
        <w:rPr>
          <w:rStyle w:val="C3"/>
          <w:b w:val="0"/>
        </w:rPr>
        <w:t>1).- FOS 40% - FOT 0.8. FOS mínimo 15%.</w:t>
      </w:r>
    </w:p>
    <w:p>
      <w:pPr>
        <w:pStyle w:val="P8"/>
        <w:rPr>
          <w:rStyle w:val="C3"/>
          <w:b w:val="1"/>
        </w:rPr>
      </w:pPr>
      <w:r>
        <w:rPr>
          <w:rStyle w:val="C3"/>
          <w:b w:val="0"/>
        </w:rPr>
        <w:t xml:space="preserve">    2).- Retiros: de frente 4 ms., laterales y de fondo 5 ms.</w:t>
      </w:r>
    </w:p>
    <w:p>
      <w:pPr>
        <w:pStyle w:val="P8"/>
        <w:ind w:hanging="561" w:left="561"/>
        <w:rPr>
          <w:rStyle w:val="C3"/>
          <w:b w:val="1"/>
        </w:rPr>
      </w:pPr>
      <w:r>
        <w:rPr>
          <w:rStyle w:val="C3"/>
          <w:b w:val="0"/>
        </w:rPr>
        <w:t xml:space="preserve">    3).- Altura de la edificación: 2 plantas: 8 ms., Para      techos inclinados y para todas las construcciones complementarias: 12 ms.</w:t>
      </w:r>
    </w:p>
    <w:p>
      <w:pPr>
        <w:pStyle w:val="P8"/>
        <w:ind w:hanging="561" w:left="561"/>
        <w:rPr>
          <w:rStyle w:val="C3"/>
          <w:b w:val="1"/>
        </w:rPr>
      </w:pPr>
    </w:p>
    <w:p>
      <w:pPr>
        <w:pStyle w:val="P8"/>
      </w:pPr>
      <w:r>
        <w:t>d)Area Uso Recreativo Cultural:</w:t>
      </w:r>
    </w:p>
    <w:p>
      <w:pPr>
        <w:pStyle w:val="P8"/>
        <w:ind w:firstLine="708"/>
        <w:rPr>
          <w:rStyle w:val="C3"/>
          <w:b w:val="1"/>
        </w:rPr>
      </w:pPr>
      <w:r>
        <w:rPr>
          <w:rStyle w:val="C3"/>
          <w:b w:val="0"/>
        </w:rPr>
        <w:t>1).- FOS 20%. FOT 0.25.</w:t>
      </w:r>
    </w:p>
    <w:p>
      <w:pPr>
        <w:pStyle w:val="P8"/>
        <w:ind w:firstLine="708"/>
        <w:rPr>
          <w:rStyle w:val="C3"/>
          <w:b w:val="1"/>
        </w:rPr>
      </w:pPr>
      <w:r>
        <w:rPr>
          <w:rStyle w:val="C3"/>
          <w:b w:val="0"/>
        </w:rPr>
        <w:t>2).- Retiros de 10 metros en todos sus lados.</w:t>
      </w:r>
    </w:p>
    <w:p>
      <w:pPr>
        <w:pStyle w:val="P8"/>
        <w:ind w:firstLine="708"/>
        <w:rPr>
          <w:rStyle w:val="C3"/>
          <w:b w:val="1"/>
        </w:rPr>
      </w:pPr>
      <w:r>
        <w:rPr>
          <w:rStyle w:val="C3"/>
          <w:b w:val="0"/>
        </w:rPr>
        <w:t xml:space="preserve">3).- Altura idem Uso Turístico. </w:t>
      </w:r>
    </w:p>
    <w:p>
      <w:pPr>
        <w:pStyle w:val="P8"/>
        <w:ind w:left="708"/>
        <w:rPr>
          <w:rStyle w:val="C3"/>
          <w:b w:val="1"/>
        </w:rPr>
      </w:pPr>
      <w:r>
        <w:rPr>
          <w:rStyle w:val="C3"/>
          <w:b w:val="0"/>
        </w:rPr>
        <w:t>4).- Área estacionamiento interno: 10% del total (no incluye superficie del factible lago artificial.)</w:t>
      </w:r>
    </w:p>
    <w:p>
      <w:pPr>
        <w:pStyle w:val="P8"/>
        <w:ind w:left="708"/>
        <w:jc w:val="right"/>
        <w:rPr>
          <w:rStyle w:val="C3"/>
          <w:b w:val="1"/>
        </w:rPr>
      </w:pPr>
      <w:r>
        <w:rPr>
          <w:rStyle w:val="C3"/>
          <w:b w:val="0"/>
        </w:rPr>
        <w:t>...///</w:t>
      </w:r>
    </w:p>
    <w:p>
      <w:pPr>
        <w:pStyle w:val="P8"/>
        <w:ind w:left="708"/>
        <w:jc w:val="right"/>
        <w:rPr>
          <w:rStyle w:val="C3"/>
          <w:b w:val="1"/>
        </w:rPr>
      </w:pPr>
    </w:p>
    <w:p>
      <w:pPr>
        <w:pStyle w:val="P8"/>
        <w:ind w:left="708"/>
        <w:jc w:val="right"/>
        <w:rPr>
          <w:rStyle w:val="C3"/>
          <w:b w:val="1"/>
        </w:rPr>
      </w:pPr>
    </w:p>
    <w:p>
      <w:pPr>
        <w:pStyle w:val="P8"/>
        <w:ind w:left="708"/>
        <w:jc w:val="right"/>
        <w:rPr>
          <w:rStyle w:val="C3"/>
          <w:b w:val="1"/>
        </w:rPr>
      </w:pPr>
    </w:p>
    <w:p>
      <w:pPr>
        <w:pStyle w:val="P8"/>
        <w:ind w:left="708"/>
        <w:jc w:val="right"/>
        <w:rPr>
          <w:rStyle w:val="C3"/>
          <w:b w:val="1"/>
        </w:rPr>
      </w:pPr>
    </w:p>
    <w:p>
      <w:pPr>
        <w:pStyle w:val="P8"/>
        <w:ind w:left="708"/>
        <w:jc w:val="right"/>
        <w:rPr>
          <w:rStyle w:val="C3"/>
          <w:b w:val="1"/>
        </w:rPr>
      </w:pPr>
    </w:p>
    <w:p>
      <w:pPr>
        <w:pStyle w:val="P8"/>
        <w:ind w:left="708"/>
        <w:jc w:val="right"/>
        <w:rPr>
          <w:rStyle w:val="C3"/>
          <w:b w:val="1"/>
        </w:rPr>
      </w:pPr>
    </w:p>
    <w:p>
      <w:pPr>
        <w:pStyle w:val="P8"/>
        <w:ind w:left="708"/>
        <w:jc w:val="right"/>
        <w:rPr>
          <w:rStyle w:val="C3"/>
          <w:b w:val="1"/>
        </w:rPr>
      </w:pPr>
    </w:p>
    <w:p>
      <w:pPr>
        <w:pStyle w:val="P8"/>
        <w:rPr>
          <w:rStyle w:val="C3"/>
          <w:b w:val="1"/>
        </w:rPr>
      </w:pPr>
      <w:r>
        <w:rPr>
          <w:rStyle w:val="C3"/>
          <w:b w:val="0"/>
        </w:rPr>
        <w:t>...///5.-</w:t>
      </w:r>
    </w:p>
    <w:p>
      <w:pPr>
        <w:pStyle w:val="P8"/>
      </w:pPr>
      <w:r>
        <w:t xml:space="preserve">e)Area  Uso Mixto Comercial Turístico:</w:t>
      </w:r>
    </w:p>
    <w:p>
      <w:pPr>
        <w:pStyle w:val="P8"/>
        <w:ind w:firstLine="708"/>
        <w:rPr>
          <w:rStyle w:val="C3"/>
          <w:b w:val="1"/>
        </w:rPr>
      </w:pPr>
      <w:r>
        <w:rPr>
          <w:rStyle w:val="C3"/>
          <w:b w:val="0"/>
        </w:rPr>
        <w:t>1).- FOS 30%. FOT 0.75. FOS mínimo: 15%</w:t>
      </w:r>
    </w:p>
    <w:p>
      <w:pPr>
        <w:pStyle w:val="P8"/>
        <w:ind w:hanging="40" w:left="748"/>
        <w:rPr>
          <w:rStyle w:val="C3"/>
          <w:b w:val="1"/>
        </w:rPr>
      </w:pPr>
      <w:r>
        <w:rPr>
          <w:rStyle w:val="C3"/>
          <w:b w:val="0"/>
        </w:rPr>
        <w:t>2).- Retiros: de frente: 4 ms. Laterales y de fondo: 6 ms.</w:t>
      </w:r>
    </w:p>
    <w:p>
      <w:pPr>
        <w:pStyle w:val="P8"/>
        <w:ind w:left="708"/>
        <w:rPr>
          <w:rStyle w:val="C3"/>
          <w:b w:val="1"/>
        </w:rPr>
      </w:pPr>
      <w:r>
        <w:rPr>
          <w:rStyle w:val="C3"/>
          <w:b w:val="0"/>
        </w:rPr>
        <w:t>3).- Altura de la edificación: 2 plantas + la 3ª = 30% de la 2ª. 10 ms., y 12 ms. Para techos inclinados y para todas las construcciones complementarias.</w:t>
      </w:r>
    </w:p>
    <w:p>
      <w:pPr>
        <w:pStyle w:val="P8"/>
        <w:rPr>
          <w:rStyle w:val="C3"/>
        </w:rPr>
      </w:pPr>
    </w:p>
    <w:p>
      <w:pPr>
        <w:pStyle w:val="P8"/>
        <w:ind w:hanging="748" w:left="748"/>
        <w:rPr>
          <w:rStyle w:val="C3"/>
          <w:b w:val="1"/>
        </w:rPr>
      </w:pPr>
      <w:r>
        <w:rPr>
          <w:rStyle w:val="C3"/>
          <w:u w:val="single"/>
        </w:rPr>
        <w:t>Art.5</w:t>
      </w:r>
      <w:r>
        <w:t xml:space="preserve">: ESTABLÉCESE </w:t>
      </w:r>
      <w:r>
        <w:rPr>
          <w:rStyle w:val="C3"/>
          <w:b w:val="0"/>
        </w:rPr>
        <w:t>que la Municipalidad de Alta Gracia aportará un PLAN MAESTRO que regirá como marco jurídico técnico y económico general, a los efectos de lo dispuesto en el Art. 7º de la presente, el que respetará los porcentajes de Uso del Suelo según lo dispuesto en el Art. 3º de la presente, pudiendo de acuerdo al Plan Maestro establecerse la subdivisión prevista o el sistema de Condominio al integrarse. Para la elaboración de dicho Plan Maestro, el Estado Municipal podrá solicitar colaboración técnica a la Secretaría de Turismo de la Pcia., y/o Instituciones Provinciales, Nacionales o Internacionales que considere necesario, teniendo en cuenta que los costos que insuma el Plan Maestro serán a cargo de los oferentes que resulten adjudicatarios, en porcentaje proporcional de la superficie que adquiera.</w:t>
      </w:r>
    </w:p>
    <w:p>
      <w:pPr>
        <w:pStyle w:val="P8"/>
        <w:rPr>
          <w:rStyle w:val="C3"/>
        </w:rPr>
      </w:pPr>
    </w:p>
    <w:p>
      <w:pPr>
        <w:pStyle w:val="P8"/>
        <w:ind w:hanging="748" w:left="748"/>
        <w:rPr>
          <w:rStyle w:val="C3"/>
          <w:b w:val="1"/>
        </w:rPr>
      </w:pPr>
      <w:r>
        <w:rPr>
          <w:rStyle w:val="C3"/>
          <w:u w:val="single"/>
        </w:rPr>
        <w:t>Art.6</w:t>
      </w:r>
      <w:r>
        <w:t xml:space="preserve">: DETERMINASE, </w:t>
      </w:r>
      <w:r>
        <w:rPr>
          <w:rStyle w:val="C3"/>
          <w:b w:val="0"/>
        </w:rPr>
        <w:t xml:space="preserve">que una vez elaborado el Plan Maestro establecido en el precepto anterior, y antes de la recepción de nuevas propuestas de emprendimiento,  el Departamento Ejecutivo deberá elevar a consideración de este Honorable Concejo Deliberante,  una propuesta a los fines de establecer el  valor de la tierra para los diferentes usos.-</w:t>
      </w:r>
    </w:p>
    <w:p>
      <w:pPr>
        <w:pStyle w:val="P8"/>
        <w:rPr>
          <w:rStyle w:val="C3"/>
          <w:b w:val="1"/>
        </w:rPr>
      </w:pPr>
    </w:p>
    <w:p>
      <w:pPr>
        <w:pStyle w:val="P8"/>
        <w:ind w:hanging="748" w:left="748"/>
        <w:rPr>
          <w:rStyle w:val="C3"/>
          <w:b w:val="1"/>
        </w:rPr>
      </w:pPr>
      <w:r>
        <w:rPr>
          <w:rStyle w:val="C3"/>
          <w:u w:val="single"/>
        </w:rPr>
        <w:t>Art.7:</w:t>
      </w:r>
      <w:r>
        <w:t xml:space="preserve"> HABILITASE, </w:t>
      </w:r>
      <w:r>
        <w:rPr>
          <w:rStyle w:val="C3"/>
          <w:b w:val="0"/>
        </w:rPr>
        <w:t>una vez elaborado el Plan Maestro al que hace referencia el precepto anterior</w:t>
      </w:r>
      <w:r>
        <w:t xml:space="preserve">, </w:t>
      </w:r>
      <w:r>
        <w:rPr>
          <w:rStyle w:val="C3"/>
          <w:b w:val="0"/>
        </w:rPr>
        <w:t xml:space="preserve">la recepción de nuevas propuestas de emprendimientos ante el Departamento Ejecutivo, en las zonas determinadas en los Art. 1º y 2º de la Ordenanza Nº 7501 y bajo las nuevas condiciones establecidas en la presente norma, </w:t>
      </w:r>
    </w:p>
    <w:p>
      <w:pPr>
        <w:pStyle w:val="P8"/>
        <w:ind w:hanging="748" w:left="748"/>
        <w:jc w:val="right"/>
        <w:rPr>
          <w:rStyle w:val="C3"/>
          <w:b w:val="1"/>
        </w:rPr>
      </w:pPr>
      <w:r>
        <w:rPr>
          <w:rStyle w:val="C3"/>
          <w:b w:val="0"/>
        </w:rPr>
        <w:t>...///</w:t>
      </w:r>
    </w:p>
    <w:p>
      <w:pPr>
        <w:pStyle w:val="P8"/>
        <w:ind w:hanging="748" w:left="748"/>
        <w:rPr>
          <w:rStyle w:val="C3"/>
          <w:b w:val="1"/>
        </w:rPr>
      </w:pPr>
    </w:p>
    <w:p>
      <w:pPr>
        <w:pStyle w:val="P8"/>
        <w:ind w:hanging="748" w:left="748"/>
        <w:rPr>
          <w:rStyle w:val="C3"/>
          <w:b w:val="1"/>
        </w:rPr>
      </w:pPr>
    </w:p>
    <w:p>
      <w:pPr>
        <w:pStyle w:val="P8"/>
        <w:ind w:hanging="748" w:left="748"/>
        <w:rPr>
          <w:rStyle w:val="C3"/>
          <w:b w:val="1"/>
        </w:rPr>
      </w:pPr>
    </w:p>
    <w:p>
      <w:pPr>
        <w:pStyle w:val="P8"/>
        <w:ind w:hanging="748" w:left="748"/>
        <w:rPr>
          <w:rStyle w:val="C3"/>
          <w:b w:val="1"/>
        </w:rPr>
      </w:pPr>
    </w:p>
    <w:p>
      <w:pPr>
        <w:pStyle w:val="P8"/>
        <w:ind w:hanging="748" w:left="748"/>
        <w:rPr>
          <w:rStyle w:val="C3"/>
          <w:b w:val="1"/>
        </w:rPr>
      </w:pPr>
    </w:p>
    <w:p>
      <w:pPr>
        <w:pStyle w:val="P8"/>
        <w:ind w:hanging="40" w:left="748"/>
        <w:rPr>
          <w:rStyle w:val="C3"/>
          <w:b w:val="1"/>
        </w:rPr>
      </w:pPr>
    </w:p>
    <w:p>
      <w:pPr>
        <w:pStyle w:val="P8"/>
        <w:ind w:hanging="40" w:left="748"/>
        <w:rPr>
          <w:rStyle w:val="C3"/>
          <w:b w:val="1"/>
        </w:rPr>
      </w:pPr>
    </w:p>
    <w:p>
      <w:pPr>
        <w:pStyle w:val="P8"/>
        <w:rPr>
          <w:rStyle w:val="C3"/>
          <w:b w:val="1"/>
        </w:rPr>
      </w:pPr>
    </w:p>
    <w:p>
      <w:pPr>
        <w:pStyle w:val="P8"/>
        <w:rPr>
          <w:rStyle w:val="C3"/>
          <w:b w:val="1"/>
        </w:rPr>
      </w:pPr>
    </w:p>
    <w:p>
      <w:pPr>
        <w:pStyle w:val="P8"/>
        <w:rPr>
          <w:rStyle w:val="C3"/>
          <w:b w:val="1"/>
        </w:rPr>
      </w:pPr>
      <w:r>
        <w:rPr>
          <w:rStyle w:val="C3"/>
          <w:b w:val="0"/>
        </w:rPr>
        <w:t>...///6.-</w:t>
      </w:r>
    </w:p>
    <w:p>
      <w:pPr>
        <w:pStyle w:val="P8"/>
        <w:ind w:hanging="40" w:left="748"/>
        <w:rPr>
          <w:rStyle w:val="C3"/>
          <w:b w:val="1"/>
        </w:rPr>
      </w:pPr>
      <w:r>
        <w:rPr>
          <w:rStyle w:val="C3"/>
          <w:b w:val="0"/>
        </w:rPr>
        <w:t xml:space="preserve">las que deberán contener el proyecto desarrollado cumpliendo con todos los procedimientos regulados por el Estado Municipal, presentando tanto en la faz técnica como económica, los planes de avance de obras y de inversiones respectivos. Presentadas las mismas y abierto el Expediente respectivo, serán analizadas por las áreas competentes técnicas, dependientes del Departamento Ejecutivo, en especial las Secretarías de Obras Públicas y Turismo. Previo  informe  fundado  de  dichas  áreas y dictamen de </w:t>
      </w:r>
    </w:p>
    <w:p>
      <w:pPr>
        <w:pStyle w:val="P8"/>
        <w:ind w:hanging="40" w:left="748"/>
        <w:rPr>
          <w:rStyle w:val="C3"/>
          <w:b w:val="1"/>
        </w:rPr>
      </w:pPr>
      <w:r>
        <w:rPr>
          <w:rStyle w:val="C3"/>
          <w:b w:val="0"/>
        </w:rPr>
        <w:t>Asesoría Letrada, serán elevadas por el Departamento Ejecutivo al Honorable Concejo Deliberante para su correspondiente aprobación.</w:t>
      </w:r>
    </w:p>
    <w:p>
      <w:pPr>
        <w:jc w:val="both"/>
        <w:rPr>
          <w:rStyle w:val="C3"/>
          <w:rFonts w:ascii="Courier New" w:hAnsi="Courier New"/>
          <w:b w:val="1"/>
        </w:rPr>
      </w:pPr>
    </w:p>
    <w:p>
      <w:pPr>
        <w:ind w:hanging="748" w:left="748"/>
        <w:jc w:val="both"/>
        <w:rPr>
          <w:rStyle w:val="C3"/>
          <w:rFonts w:ascii="Courier New" w:hAnsi="Courier New"/>
        </w:rPr>
      </w:pPr>
      <w:r>
        <w:rPr>
          <w:rStyle w:val="C3"/>
          <w:rFonts w:ascii="Courier New" w:hAnsi="Courier New"/>
          <w:b w:val="1"/>
          <w:u w:val="single"/>
        </w:rPr>
        <w:t>Art.8</w:t>
      </w:r>
      <w:r>
        <w:rPr>
          <w:rStyle w:val="C3"/>
          <w:rFonts w:ascii="Courier New" w:hAnsi="Courier New"/>
          <w:b w:val="1"/>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como requisito general para que las propuestas de inversiones en el predio motivo de la presente Ordenanza resulten viables para su consideración y tratamiento, contener una declaración expresa de conformidad respecto al Plan Maestro citado en el Art. 5º de la presente y proyectar servicios de alta gama.-</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Art.9</w:t>
      </w:r>
      <w:r>
        <w:rPr>
          <w:rStyle w:val="C3"/>
          <w:rFonts w:ascii="Courier New" w:hAnsi="Courier New"/>
          <w:b w:val="1"/>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como condición determinante a la hora de definir la cesión de tierras, en el caso de que haya superposición de pedidos de ubicación, los resultados de la evaluación comparativa de las distintas propuestas en cuestión. Para ello se tendrá en cuenta el cumplimiento irrestricto de lo establecido en la presente Ordenanza, el Plan Maestro respectivo, las normativas en vigencia del Estado Municipal, Provincial, Nacional e Internacional, las Leyes de Turismo, Ambiente, lo respectivo a flora autóctona, los sistemas de señalización locales o internacionales, las superaciones en mejoras: dimensionamientos, equipamientos, etc .-</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 xml:space="preserve">como condición a incluir en el Convenio de Cesión Onerosa, el compromiso de Escrituración por parte del Estado Municipal, en los términos fijados de acuerdo a los Convenios Onerosos existentes, con respecto  a  tierras  dentro  del predio en cuestión. </w:t>
      </w:r>
    </w:p>
    <w:p>
      <w:pPr>
        <w:ind w:hanging="748" w:left="748"/>
        <w:jc w:val="right"/>
        <w:rPr>
          <w:rStyle w:val="C3"/>
          <w:rFonts w:ascii="Courier New" w:hAnsi="Courier New"/>
        </w:rPr>
      </w:pPr>
      <w:r>
        <w:rPr>
          <w:rStyle w:val="C3"/>
          <w:rFonts w:ascii="Courier New" w:hAnsi="Courier New"/>
        </w:rPr>
        <w:t>...///</w:t>
      </w: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rPr>
        <w:t>...///7.-</w:t>
      </w:r>
    </w:p>
    <w:p>
      <w:pPr>
        <w:ind w:hanging="40" w:left="748"/>
        <w:jc w:val="both"/>
        <w:rPr>
          <w:rStyle w:val="C3"/>
          <w:rFonts w:ascii="Courier New" w:hAnsi="Courier New"/>
        </w:rPr>
      </w:pPr>
      <w:r>
        <w:rPr>
          <w:rStyle w:val="C3"/>
          <w:rFonts w:ascii="Courier New" w:hAnsi="Courier New"/>
        </w:rPr>
        <w:t xml:space="preserve">(Expediente Nº 264/I/06, Expediente Nº 1196/06 y N° 1124/Bis/06.) </w:t>
      </w:r>
    </w:p>
    <w:p>
      <w:pPr>
        <w:pStyle w:val="P12"/>
      </w:pPr>
      <w:r>
        <w:t>Dejase establecido que en el Convenio de Cesión Onerosa a cada beneficiario, deberá incluirse una cláusula de rescisión a favor del Estado Municipal en los términos del Art. 5º de la Ordenanza Nº 7501.</w:t>
      </w:r>
    </w:p>
    <w:p>
      <w:pPr>
        <w:pStyle w:val="P12"/>
      </w:pPr>
      <w:r>
        <w:t xml:space="preserve">Los adquirentes del predio bajo el régimen de la presente Ordenanza y la Ordenanza Nº 7501, se encuentran impedidos de transferir por cualquier medio dicha propiedad, hasta transcurridos los cinco años (5) a contar desde la correspondiente habilitación por parte del Estado Municipal, de dicho emprendimiento. La transferencia solo </w:t>
      </w:r>
    </w:p>
    <w:p>
      <w:pPr>
        <w:ind w:left="748"/>
        <w:jc w:val="both"/>
        <w:rPr>
          <w:rStyle w:val="C3"/>
          <w:rFonts w:ascii="Courier New" w:hAnsi="Courier New"/>
        </w:rPr>
      </w:pPr>
      <w:r>
        <w:rPr>
          <w:rStyle w:val="C3"/>
          <w:rFonts w:ascii="Courier New" w:hAnsi="Courier New"/>
        </w:rPr>
        <w:t>se podrá efectuar en dichas condiciones, si se continúa con el mismo destino de alojamiento y/o servicio turístico, hecho que deberá quedar expresamente establecido al momento de realizar las correspondientes escrituras traslativas de dominio.-</w:t>
      </w:r>
    </w:p>
    <w:p>
      <w:pPr>
        <w:jc w:val="both"/>
        <w:rPr>
          <w:rStyle w:val="C3"/>
          <w:rFonts w:ascii="Courier New" w:hAnsi="Courier New"/>
        </w:rPr>
      </w:pPr>
    </w:p>
    <w:p>
      <w:pPr>
        <w:pStyle w:val="P2"/>
        <w:ind w:hanging="748" w:left="748"/>
        <w:jc w:val="both"/>
        <w:rPr>
          <w:rStyle w:val="C3"/>
          <w:rFonts w:ascii="Courier New" w:hAnsi="Courier New"/>
        </w:rPr>
      </w:pPr>
      <w:r>
        <w:rPr>
          <w:rStyle w:val="C3"/>
          <w:rFonts w:ascii="Courier New" w:hAnsi="Courier New"/>
          <w:b w:val="1"/>
          <w:u w:val="single"/>
        </w:rPr>
        <w:t>Art.11</w:t>
      </w:r>
      <w:r>
        <w:rPr>
          <w:rStyle w:val="C3"/>
          <w:rFonts w:ascii="Courier New" w:hAnsi="Courier New"/>
          <w:b w:val="1"/>
        </w:rPr>
        <w:t>:</w:t>
      </w:r>
      <w:r>
        <w:rPr>
          <w:rStyle w:val="C3"/>
          <w:rFonts w:ascii="Courier New" w:hAnsi="Courier New"/>
        </w:rPr>
        <w:t xml:space="preserve"> </w:t>
      </w:r>
      <w:r>
        <w:rPr>
          <w:rStyle w:val="C3"/>
          <w:rFonts w:ascii="Courier New" w:hAnsi="Courier New"/>
          <w:b w:val="1"/>
        </w:rPr>
        <w:t>DETERMINASE</w:t>
      </w:r>
      <w:r>
        <w:rPr>
          <w:rStyle w:val="C3"/>
          <w:rFonts w:ascii="Courier New" w:hAnsi="Courier New"/>
        </w:rPr>
        <w:t xml:space="preserve"> que el Estado Municipal ejecutará, a través de los técnicos competentes, en función del  diseño urbanístico, los planos de Mensura y Subdivisión respectivos, a los efectos de su  aprobación.-</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 xml:space="preserve">que los trabajos referentes a las aperturas de calles y avenidas, según plano de Mensura y Subdivisión, cumpliendo en todo con  la documentación solicitada, como así también la ejecución del arbolado urbano autóctono en un 70 % de la superficie de terreno adquirida, y demás obligaciones que fije el Plan Maestro, serán soportados por los adquirentes.-</w:t>
      </w:r>
    </w:p>
    <w:p>
      <w:pPr>
        <w:jc w:val="both"/>
        <w:rPr>
          <w:rStyle w:val="C3"/>
          <w:rFonts w:ascii="Courier New" w:hAnsi="Courier New"/>
        </w:rPr>
      </w:pPr>
    </w:p>
    <w:p>
      <w:pPr>
        <w:ind w:hanging="40" w:left="748"/>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 xml:space="preserve">que la ejecución de la infraestructura básica a dotar al predio, será asumida y realizada por los adquirentes en proporción a la superficie de terreno adquirida. Los programas y proyectos para la ejecución de dichas obras deberán obtener las distintas aprobaciones, según los entes actuantes y el Departamento Ejecutivo en un todo de acuerdo a las condiciones técnicas establecidas en el Plan Maestro.- </w:t>
      </w:r>
    </w:p>
    <w:p>
      <w:pPr>
        <w:ind w:hanging="748" w:left="748"/>
        <w:jc w:val="right"/>
        <w:rPr>
          <w:rStyle w:val="C3"/>
          <w:rFonts w:ascii="Courier New" w:hAnsi="Courier New"/>
        </w:rPr>
      </w:pPr>
      <w:r>
        <w:rPr>
          <w:rStyle w:val="C3"/>
          <w:rFonts w:ascii="Courier New" w:hAnsi="Courier New"/>
        </w:rPr>
        <w:t>...///</w:t>
      </w: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rPr>
        <w:t>...///5.-</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 xml:space="preserve"> que el Departamento Ejecutivo, a través de la derivación técnica correspondiente definirá el mecanismo de control y supervisión del cumplimiento de la presente Ordenanza.-</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Art.15</w:t>
      </w:r>
      <w:r>
        <w:rPr>
          <w:rStyle w:val="C3"/>
          <w:rFonts w:ascii="Courier New" w:hAnsi="Courier New"/>
          <w:b w:val="1"/>
        </w:rPr>
        <w:t>:</w:t>
      </w:r>
      <w:r>
        <w:rPr>
          <w:rStyle w:val="C3"/>
          <w:rFonts w:ascii="Courier New" w:hAnsi="Courier New"/>
        </w:rPr>
        <w:t xml:space="preserve"> La presente Ordenanza entrará en vigencia a partir de la fecha de su Promulgación , en un todo de conformidad a lo establecido en el Art. Nº 24 de la Carta Orgánica Municipal.-</w:t>
      </w:r>
    </w:p>
    <w:p>
      <w:pPr>
        <w:jc w:val="both"/>
        <w:rPr>
          <w:rStyle w:val="C3"/>
          <w:rFonts w:ascii="Courier New" w:hAnsi="Courier New"/>
          <w:b w:val="1"/>
          <w:u w:val="single"/>
        </w:rPr>
      </w:pPr>
    </w:p>
    <w:p>
      <w:pPr>
        <w:jc w:val="both"/>
        <w:rPr>
          <w:rStyle w:val="C3"/>
          <w:rFonts w:ascii="Courier New" w:hAnsi="Courier New"/>
        </w:rPr>
      </w:pPr>
      <w:r>
        <w:rPr>
          <w:rStyle w:val="C3"/>
          <w:rFonts w:ascii="Courier New" w:hAnsi="Courier New"/>
          <w:b w:val="1"/>
          <w:u w:val="single"/>
        </w:rPr>
        <w:t>Art.16</w:t>
      </w:r>
      <w:r>
        <w:rPr>
          <w:rStyle w:val="C3"/>
          <w:rFonts w:ascii="Courier New" w:hAnsi="Courier New"/>
          <w:b w:val="1"/>
        </w:rPr>
        <w:t xml:space="preserve">:DERÓGASE la </w:t>
      </w:r>
      <w:r>
        <w:rPr>
          <w:rStyle w:val="C3"/>
          <w:rFonts w:ascii="Courier New" w:hAnsi="Courier New"/>
        </w:rPr>
        <w:t>Ordenanza Nº 5008</w:t>
      </w:r>
      <w:r>
        <w:rPr>
          <w:rStyle w:val="C3"/>
          <w:rFonts w:ascii="Courier New" w:hAnsi="Courier New"/>
          <w:b w:val="1"/>
        </w:rPr>
        <w:t>.-.</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Art.17</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pStyle w:val="P13"/>
        <w:ind w:left="0"/>
      </w:pPr>
      <w:r>
        <w:t>DADA EN LA SALA DE SESIONES DEL HONORABLE CONCEJO DELIBERANTE A LOS DIECISIETE DIAS DEL MES DE SEPTIEMBRE DEL AÑO DOS MIL OCHO.-</w:t>
      </w:r>
    </w:p>
    <w:p>
      <w:pPr>
        <w:jc w:val="both"/>
        <w:rPr>
          <w:rStyle w:val="C3"/>
          <w:rFonts w:ascii="Courier New" w:hAnsi="Courier New"/>
        </w:rPr>
      </w:pPr>
    </w:p>
    <w:sectPr>
      <w:type w:val="continuous"/>
      <w:pgSz w:w="11908" w:h="16833" w:code="0"/>
      <w:pgMar w:left="1701" w:right="1701" w:top="1418" w:bottom="1418" w:header="720" w:footer="720" w:gutter="0"/>
      <w:pgNumType w:start="1"/>
      <w:cols w:equalWidth="1" w:space="720"/>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outlineLvl w:val="0"/>
    </w:pPr>
    <w:rPr/>
  </w:style>
  <w:style w:type="paragraph" w:styleId="P3">
    <w:name w:val="Título 2"/>
    <w:basedOn w:val="P0"/>
    <w:next w:val="P0"/>
    <w:pPr>
      <w:keepNext w:val="1"/>
      <w:jc w:val="center"/>
      <w:outlineLvl w:val="1"/>
    </w:pPr>
    <w:rPr>
      <w:b w:val="1"/>
    </w:rPr>
  </w:style>
  <w:style w:type="paragraph" w:styleId="P4">
    <w:name w:val="Remite de sobre"/>
    <w:basedOn w:val="P0"/>
    <w:next w:val="P4"/>
    <w:pPr/>
    <w:rPr>
      <w:rFonts w:ascii="Benguiat Bk BT" w:hAnsi="Benguiat Bk BT"/>
      <w:b w:val="1"/>
      <w:i w:val="1"/>
      <w:u w:val="single"/>
    </w:rPr>
  </w:style>
  <w:style w:type="paragraph" w:styleId="P5">
    <w:name w:val="Texto sin formato"/>
    <w:basedOn w:val="P0"/>
    <w:next w:val="P5"/>
    <w:pPr/>
    <w:rPr>
      <w:rFonts w:ascii="Courier New" w:hAnsi="Courier New"/>
      <w:sz w:val="20"/>
    </w:rPr>
  </w:style>
  <w:style w:type="paragraph" w:styleId="P6">
    <w:name w:val="Texto independiente"/>
    <w:basedOn w:val="P0"/>
    <w:next w:val="P6"/>
    <w:pPr>
      <w:jc w:val="both"/>
    </w:pPr>
    <w:rPr>
      <w:rFonts w:ascii="Courier New" w:hAnsi="Courier New"/>
    </w:rPr>
  </w:style>
  <w:style w:type="paragraph" w:styleId="P7">
    <w:name w:val="Título"/>
    <w:basedOn w:val="P0"/>
    <w:next w:val="P7"/>
    <w:pPr>
      <w:jc w:val="center"/>
    </w:pPr>
    <w:rPr>
      <w:rFonts w:ascii="Courier New" w:hAnsi="Courier New"/>
      <w:b w:val="1"/>
    </w:rPr>
  </w:style>
  <w:style w:type="paragraph" w:styleId="P8">
    <w:name w:val="Texto independiente 3"/>
    <w:basedOn w:val="P0"/>
    <w:next w:val="P8"/>
    <w:pPr>
      <w:jc w:val="both"/>
    </w:pPr>
    <w:rPr>
      <w:rFonts w:ascii="Courier New" w:hAnsi="Courier New"/>
      <w:b w:val="1"/>
    </w:rPr>
  </w:style>
  <w:style w:type="paragraph" w:styleId="P9">
    <w:name w:val="Texto independiente 2"/>
    <w:basedOn w:val="P0"/>
    <w:next w:val="P9"/>
    <w:pPr>
      <w:jc w:val="both"/>
    </w:pPr>
    <w:rPr>
      <w:sz w:val="28"/>
    </w:rPr>
  </w:style>
  <w:style w:type="paragraph" w:styleId="P10">
    <w:name w:val="Texto de globo"/>
    <w:basedOn w:val="P0"/>
    <w:next w:val="P10"/>
    <w:pPr/>
    <w:rPr>
      <w:rFonts w:ascii="Tahoma" w:hAnsi="Tahoma"/>
      <w:sz w:val="16"/>
    </w:rPr>
  </w:style>
  <w:style w:type="paragraph" w:styleId="P11">
    <w:name w:val="Sangría de t. independiente"/>
    <w:basedOn w:val="P0"/>
    <w:next w:val="P11"/>
    <w:pPr>
      <w:ind w:left="561"/>
      <w:jc w:val="both"/>
    </w:pPr>
    <w:rPr>
      <w:rFonts w:ascii="Courier New" w:hAnsi="Courier New"/>
    </w:rPr>
  </w:style>
  <w:style w:type="paragraph" w:styleId="P12">
    <w:name w:val="Sangría 2 de t. independiente"/>
    <w:basedOn w:val="P0"/>
    <w:next w:val="P12"/>
    <w:pPr>
      <w:ind w:left="748"/>
      <w:jc w:val="both"/>
    </w:pPr>
    <w:rPr>
      <w:rFonts w:ascii="Courier New" w:hAnsi="Courier New"/>
    </w:rPr>
  </w:style>
  <w:style w:type="paragraph" w:styleId="P13">
    <w:name w:val="Sangría 3 de t. independiente"/>
    <w:basedOn w:val="P0"/>
    <w:next w:val="P13"/>
    <w:pPr>
      <w:ind w:left="748"/>
      <w:jc w:val="both"/>
    </w:pPr>
    <w:rPr>
      <w:rFonts w:ascii="Courier New" w:hAnsi="Courier New"/>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2008-09-24T03:19:00Z</dcterms:created>
  <cp:lastModifiedBy>Ethan Puglia</cp:lastModifiedBy>
  <cp:lastPrinted>2008-09-27T02:45:00Z</cp:lastPrinted>
  <dcterms:modified xsi:type="dcterms:W3CDTF">2019-03-28T17:34:07Z</dcterms:modified>
  <cp:revision>28</cp:revision>
  <dc:title>PROYECTO DE ORDENANZA</dc:title>
</cp:coreProperties>
</file>