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4FA1C574" Type="http://schemas.openxmlformats.org/officeDocument/2006/relationships/officeDocument" Target="/word/document.xml" /><Relationship Id="coreR4FA1C574"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u w:val="single"/>
        </w:rPr>
      </w:pPr>
    </w:p>
    <w:p>
      <w:pPr>
        <w:pStyle w:val="P2"/>
        <w:jc w:val="center"/>
        <w:rPr>
          <w:rStyle w:val="C3"/>
          <w:rFonts w:ascii="Courier New" w:hAnsi="Courier New"/>
          <w:b w:val="1"/>
          <w:u w:val="single"/>
        </w:rPr>
      </w:pPr>
    </w:p>
    <w:p>
      <w:pPr>
        <w:pStyle w:val="P2"/>
        <w:jc w:val="center"/>
        <w:rPr>
          <w:rStyle w:val="C3"/>
          <w:rFonts w:ascii="Courier New" w:hAnsi="Courier New"/>
          <w:b w:val="1"/>
          <w:u w:val="single"/>
        </w:rPr>
      </w:pPr>
      <w:r>
        <w:rPr>
          <w:rStyle w:val="C3"/>
          <w:rFonts w:ascii="Courier New" w:hAnsi="Courier New"/>
          <w:b w:val="1"/>
          <w:u w:val="single"/>
        </w:rPr>
        <w:t xml:space="preserve">ORDENANZA  N° 8347</w:t>
      </w:r>
    </w:p>
    <w:p>
      <w:pPr>
        <w:jc w:val="both"/>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Visto: La necesidad de adecuar el sistema de ingreso y circulación del tránsito pesado en nuestra ciudad</w:t>
      </w:r>
      <w:r>
        <w:rPr>
          <w:rStyle w:val="C3"/>
          <w:rFonts w:ascii="Courier New" w:hAnsi="Courier New"/>
          <w:b w:val="0"/>
        </w:rPr>
        <w:t>; y</w:t>
      </w:r>
    </w:p>
    <w:p>
      <w:pPr>
        <w:rPr>
          <w:rStyle w:val="C3"/>
          <w:rFonts w:ascii="Courier New" w:hAnsi="Courier New"/>
        </w:rPr>
      </w:pPr>
    </w:p>
    <w:p>
      <w:pP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rPr>
          <w:rStyle w:val="C3"/>
        </w:rPr>
      </w:pPr>
    </w:p>
    <w:p>
      <w:pPr>
        <w:rPr>
          <w:rStyle w:val="C3"/>
          <w:rFonts w:ascii="Courier New" w:hAnsi="Courier New"/>
        </w:rPr>
      </w:pPr>
    </w:p>
    <w:p>
      <w:pPr>
        <w:pStyle w:val="P12"/>
        <w:ind w:left="561"/>
        <w:rPr>
          <w:rStyle w:val="C3"/>
          <w:b w:val="1"/>
        </w:rPr>
      </w:pPr>
      <w:r>
        <w:t>Que uno de los objetivos permanentes de la Municipalidad de Alta Gracia es preservar la seguridad Pública, dar fluidez al tránsito vehicular y peatonal, educar y capacitar a la población en el correcto uso de las vías públicas entre otras;</w:t>
      </w:r>
    </w:p>
    <w:p>
      <w:pPr>
        <w:pStyle w:val="P12"/>
        <w:ind w:left="561"/>
        <w:rPr>
          <w:rStyle w:val="C3"/>
        </w:rPr>
      </w:pPr>
    </w:p>
    <w:p>
      <w:pPr>
        <w:pStyle w:val="P12"/>
        <w:ind w:left="561"/>
        <w:rPr>
          <w:rStyle w:val="C3"/>
          <w:b w:val="1"/>
        </w:rPr>
      </w:pPr>
      <w:r>
        <w:t>Que, siendo necesario para el mejor control y ordenamiento del transporte en la ciudad de Alta Gracia dictar una nueva Ordenanza, derogando a la Ordenanza 5188, Es público y notorio que el tránsito pesado en la ciudad provoca en todos los lugares por donde circula un gran desmejoramiento de la vía pública llegando en caso de constante circulación, a la rotura de las calles de la zona, inconvenientes en las propiedades de los vecinos, averías serias en la red de agua potable, reclamos que nuestras vecinos en forma permanente han hecho saber;</w:t>
      </w:r>
    </w:p>
    <w:p>
      <w:pPr>
        <w:pStyle w:val="P12"/>
        <w:ind w:left="561"/>
        <w:rPr>
          <w:rStyle w:val="C3"/>
        </w:rPr>
      </w:pPr>
    </w:p>
    <w:p>
      <w:pPr>
        <w:pStyle w:val="P12"/>
        <w:ind w:left="561"/>
      </w:pPr>
      <w:r>
        <w:t xml:space="preserve">Que, se advierte además, una irresponsabilidad propia de los conductores de vehículos pesados, sus propietarios y/o sus responsables, que transitan excedidos de carga provocando roturas en las calles  y perjudicando a los vecinos del lugar.</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Proyecto de Ordenanza, por la Comisión de Legislación General, la misma emite despacho favorable, aprobado por Unanimidad en Sesión Extraordinaria del día 19 de Diciembre de 2008</w:t>
      </w:r>
      <w:r>
        <w:rPr>
          <w:rStyle w:val="C5"/>
          <w:rFonts w:ascii="Times New Roman" w:hAnsi="Times New Roman"/>
        </w:rPr>
        <w:footnoteReference w:id="0"/>
      </w:r>
      <w:r>
        <w:rPr>
          <w:rStyle w:val="C3"/>
          <w:rFonts w:ascii="Courier New" w:hAnsi="Courier New"/>
        </w:rPr>
        <w:t>.</w:t>
      </w:r>
    </w:p>
    <w:p>
      <w:pPr>
        <w:pStyle w:val="P3"/>
        <w:rPr>
          <w:rStyle w:val="C3"/>
          <w:rFonts w:ascii="Courier New" w:hAnsi="Courier New"/>
        </w:rPr>
      </w:pPr>
    </w:p>
    <w:p>
      <w:pPr>
        <w:pStyle w:val="P3"/>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12"/>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561" w:left="1269"/>
        <w:jc w:val="both"/>
        <w:rPr>
          <w:rStyle w:val="C3"/>
          <w:rFonts w:ascii="Courier New" w:hAnsi="Courier New"/>
          <w:b w:val="1"/>
        </w:rPr>
      </w:pPr>
    </w:p>
    <w:p>
      <w:pPr>
        <w:ind w:hanging="561" w:left="1269"/>
        <w:jc w:val="right"/>
        <w:rPr>
          <w:rStyle w:val="C3"/>
          <w:rFonts w:ascii="Courier New" w:hAnsi="Courier New"/>
        </w:rPr>
      </w:pPr>
      <w:r>
        <w:rPr>
          <w:rStyle w:val="C3"/>
          <w:rFonts w:ascii="Courier New" w:hAnsi="Courier New"/>
        </w:rPr>
        <w:t>...///</w:t>
      </w:r>
    </w:p>
    <w:p>
      <w:pPr>
        <w:ind w:hanging="561" w:left="1269"/>
        <w:jc w:val="both"/>
        <w:rPr>
          <w:rStyle w:val="C3"/>
          <w:rFonts w:ascii="Courier New" w:hAnsi="Courier New"/>
          <w:b w:val="1"/>
        </w:rPr>
      </w:pPr>
    </w:p>
    <w:p>
      <w:pPr>
        <w:ind w:hanging="561" w:left="1269"/>
        <w:jc w:val="both"/>
        <w:rPr>
          <w:rStyle w:val="C3"/>
          <w:rFonts w:ascii="Courier New" w:hAnsi="Courier New"/>
          <w:b w:val="1"/>
        </w:rPr>
      </w:pPr>
    </w:p>
    <w:p>
      <w:pPr>
        <w:ind w:hanging="561" w:left="1269"/>
        <w:jc w:val="both"/>
        <w:rPr>
          <w:rStyle w:val="C3"/>
          <w:rFonts w:ascii="Courier New" w:hAnsi="Courier New"/>
          <w:b w:val="1"/>
        </w:rPr>
      </w:pPr>
    </w:p>
    <w:p>
      <w:pPr>
        <w:ind w:hanging="561" w:left="1269"/>
        <w:jc w:val="both"/>
        <w:rPr>
          <w:rStyle w:val="C3"/>
          <w:rFonts w:ascii="Courier New" w:hAnsi="Courier New"/>
          <w:b w:val="1"/>
        </w:rPr>
      </w:pPr>
    </w:p>
    <w:p>
      <w:pPr>
        <w:ind w:hanging="561" w:left="1269"/>
        <w:jc w:val="both"/>
        <w:rPr>
          <w:rStyle w:val="C3"/>
          <w:rFonts w:ascii="Courier New" w:hAnsi="Courier New"/>
          <w:b w:val="1"/>
        </w:rPr>
      </w:pPr>
    </w:p>
    <w:p>
      <w:pPr>
        <w:ind w:hanging="561" w:left="1269"/>
        <w:jc w:val="both"/>
        <w:rPr>
          <w:rStyle w:val="C3"/>
          <w:rFonts w:ascii="Courier New" w:hAnsi="Courier New"/>
        </w:rPr>
      </w:pPr>
    </w:p>
    <w:p>
      <w:pPr>
        <w:pStyle w:val="P17"/>
        <w:ind w:hanging="561"/>
        <w:rPr>
          <w:rStyle w:val="C3"/>
          <w:b w:val="1"/>
          <w:u w:val="single"/>
        </w:rPr>
      </w:pPr>
    </w:p>
    <w:p>
      <w:pPr>
        <w:pStyle w:val="P17"/>
        <w:ind w:hanging="561"/>
      </w:pPr>
      <w:r>
        <w:t>...///2.-</w:t>
      </w:r>
    </w:p>
    <w:p>
      <w:pPr>
        <w:pStyle w:val="P17"/>
        <w:ind w:hanging="561"/>
        <w:rPr>
          <w:rStyle w:val="C3"/>
          <w:b w:val="1"/>
          <w:u w:val="single"/>
        </w:rPr>
      </w:pPr>
    </w:p>
    <w:p>
      <w:pPr>
        <w:pStyle w:val="P12"/>
        <w:ind w:hanging="374" w:left="374"/>
      </w:pPr>
      <w:r>
        <w:rPr>
          <w:rStyle w:val="C3"/>
          <w:b w:val="1"/>
          <w:u w:val="single"/>
        </w:rPr>
        <w:t>Art.1</w:t>
      </w:r>
      <w:r>
        <w:rPr>
          <w:rStyle w:val="C3"/>
          <w:b w:val="1"/>
        </w:rPr>
        <w:t>:</w:t>
      </w:r>
      <w:r>
        <w:t xml:space="preserve"> </w:t>
      </w:r>
      <w:r>
        <w:rPr>
          <w:rStyle w:val="C3"/>
          <w:b w:val="1"/>
        </w:rPr>
        <w:t>SERÁN</w:t>
      </w:r>
      <w:r>
        <w:t xml:space="preserve"> considerados Vehículos de Transito Pesado (VTP) a los efectos de esta Ordenanza, todos los vehículos automotores y/o formaciones de vehículos de carga con mas de dos (2) ejes, incluyendo a los semiremolques y a los de dos ejes que arrastren acoplados.-</w:t>
      </w:r>
    </w:p>
    <w:p>
      <w:pPr>
        <w:pStyle w:val="P12"/>
      </w:pPr>
    </w:p>
    <w:p>
      <w:pPr>
        <w:pStyle w:val="P12"/>
        <w:jc w:val="center"/>
        <w:rPr>
          <w:rStyle w:val="C3"/>
          <w:b w:val="1"/>
        </w:rPr>
      </w:pPr>
      <w:r>
        <w:rPr>
          <w:rStyle w:val="C3"/>
          <w:b w:val="1"/>
        </w:rPr>
        <w:t>Recorrido</w:t>
      </w:r>
    </w:p>
    <w:p>
      <w:pPr>
        <w:pStyle w:val="P12"/>
        <w:jc w:val="center"/>
        <w:rPr>
          <w:rStyle w:val="C3"/>
          <w:b w:val="1"/>
        </w:rPr>
      </w:pPr>
    </w:p>
    <w:p>
      <w:pPr>
        <w:pStyle w:val="P12"/>
        <w:ind w:hanging="374" w:left="374"/>
      </w:pPr>
      <w:r>
        <w:rPr>
          <w:rStyle w:val="C3"/>
          <w:b w:val="1"/>
          <w:u w:val="single"/>
        </w:rPr>
        <w:t>A</w:t>
      </w:r>
      <w:r>
        <w:rPr>
          <w:rStyle w:val="C3"/>
          <w:b w:val="1"/>
          <w:u w:val="single"/>
        </w:rPr>
        <w:t>rt.2</w:t>
      </w:r>
      <w:r>
        <w:rPr>
          <w:rStyle w:val="C3"/>
          <w:b w:val="1"/>
        </w:rPr>
        <w:t>:</w:t>
      </w:r>
      <w:r>
        <w:t xml:space="preserve"> </w:t>
      </w:r>
      <w:r>
        <w:rPr>
          <w:rStyle w:val="C3"/>
          <w:b w:val="1"/>
        </w:rPr>
        <w:t>SE</w:t>
      </w:r>
      <w:r>
        <w:t xml:space="preserve"> establece como norma de circulación única para los VTP dentro del ejido municipal de la ciudad. Circuito Sur: Deberán circular por ruta Camino a Villa La Bolsa, calle Cruz Oviedo, continuación calle Catamarca, Camino a Villa La Paisanita hasta Canteras y Moliendas del Cerro, las mismas se utilizarán para el ingreso y egreso.-</w:t>
      </w:r>
    </w:p>
    <w:p>
      <w:pPr>
        <w:pStyle w:val="P12"/>
      </w:pPr>
    </w:p>
    <w:p>
      <w:pPr>
        <w:pStyle w:val="P12"/>
        <w:ind w:hanging="374" w:left="374"/>
      </w:pPr>
      <w:r>
        <w:rPr>
          <w:rStyle w:val="C3"/>
          <w:b w:val="1"/>
          <w:u w:val="single"/>
        </w:rPr>
        <w:t>Art.3</w:t>
      </w:r>
      <w:r>
        <w:rPr>
          <w:rStyle w:val="C3"/>
          <w:b w:val="1"/>
        </w:rPr>
        <w:t>:</w:t>
      </w:r>
      <w:r>
        <w:t xml:space="preserve"> </w:t>
      </w:r>
      <w:r>
        <w:rPr>
          <w:rStyle w:val="C3"/>
          <w:b w:val="1"/>
        </w:rPr>
        <w:t xml:space="preserve">EL </w:t>
      </w:r>
      <w:r>
        <w:t xml:space="preserve">recorrido previsto en el articulo presente será de carácter obligatorio para todos los VTP con mas de dos (2) ejes, tal lo especificado en el Articulo 1º que no acrediten mediante las formas y los tiempos dispuestos en la presente, su expresa necesidad de ingresar y transitar por rutas alternativas dentro del ejido municipal y al solo efecto de la carga y/o descarga  de elementos transportados o a transportar.-</w:t>
      </w:r>
    </w:p>
    <w:p>
      <w:pPr>
        <w:pStyle w:val="P12"/>
      </w:pPr>
    </w:p>
    <w:p>
      <w:pPr>
        <w:pStyle w:val="P12"/>
        <w:ind w:hanging="374" w:left="374"/>
      </w:pPr>
      <w:r>
        <w:rPr>
          <w:rStyle w:val="C3"/>
          <w:b w:val="1"/>
          <w:u w:val="single"/>
        </w:rPr>
        <w:t>Art.</w:t>
      </w:r>
      <w:r>
        <w:rPr>
          <w:rStyle w:val="C3"/>
          <w:b w:val="1"/>
          <w:u w:val="single"/>
        </w:rPr>
        <w:t>4</w:t>
      </w:r>
      <w:r>
        <w:rPr>
          <w:rStyle w:val="C3"/>
          <w:b w:val="1"/>
        </w:rPr>
        <w:t>:</w:t>
      </w:r>
      <w:r>
        <w:t xml:space="preserve"> </w:t>
      </w:r>
      <w:r>
        <w:rPr>
          <w:rStyle w:val="C3"/>
          <w:b w:val="1"/>
        </w:rPr>
        <w:t>EN</w:t>
      </w:r>
      <w:r>
        <w:t xml:space="preserve"> el caso de vehículos de dos (2) ejes, con una patencia de motor original de fábrica no mayor a los 150 CV, su circulación será permitida sin restricciones cuando la carga máxima admitida  (CMA) no supere 6 TM. En caso de verse superado estos parámetros, los vehículos deberán someterse a las disposiciones  de la presente norma.-</w:t>
      </w:r>
    </w:p>
    <w:p>
      <w:pPr>
        <w:pStyle w:val="P12"/>
      </w:pPr>
    </w:p>
    <w:p>
      <w:pPr>
        <w:pStyle w:val="P12"/>
        <w:jc w:val="center"/>
        <w:rPr>
          <w:rStyle w:val="C3"/>
          <w:b w:val="1"/>
        </w:rPr>
      </w:pPr>
      <w:r>
        <w:rPr>
          <w:rStyle w:val="C3"/>
          <w:b w:val="1"/>
        </w:rPr>
        <w:t>Autorizaciones</w:t>
      </w:r>
    </w:p>
    <w:p>
      <w:pPr>
        <w:pStyle w:val="P12"/>
        <w:jc w:val="center"/>
        <w:rPr>
          <w:rStyle w:val="C3"/>
          <w:b w:val="1"/>
        </w:rPr>
      </w:pPr>
    </w:p>
    <w:p>
      <w:pPr>
        <w:pStyle w:val="P12"/>
        <w:ind w:hanging="374" w:left="374"/>
      </w:pPr>
      <w:r>
        <w:rPr>
          <w:rStyle w:val="C3"/>
          <w:b w:val="1"/>
          <w:u w:val="single"/>
        </w:rPr>
        <w:t>Art.5</w:t>
      </w:r>
      <w:r>
        <w:rPr>
          <w:rStyle w:val="C3"/>
          <w:b w:val="1"/>
        </w:rPr>
        <w:t>:</w:t>
      </w:r>
      <w:r>
        <w:t xml:space="preserve"> </w:t>
      </w:r>
      <w:r>
        <w:rPr>
          <w:rStyle w:val="C3"/>
          <w:b w:val="1"/>
        </w:rPr>
        <w:t>LAS</w:t>
      </w:r>
      <w:r>
        <w:t xml:space="preserve"> empresas, comercios, depósitos o industrias que a los efectos de la carga y descarga se encuentren dentro del ejido municipal,  pero fuera del recorrido establecido por  el Articulo 2º  y  el  transporte  se lleve a cabo con vehículos fuera de los parámetros de lo</w:t>
      </w:r>
    </w:p>
    <w:p>
      <w:pPr>
        <w:pStyle w:val="P12"/>
        <w:jc w:val="right"/>
      </w:pPr>
      <w:r>
        <w:t>...///</w:t>
      </w:r>
    </w:p>
    <w:p>
      <w:pPr>
        <w:pStyle w:val="P12"/>
      </w:pPr>
    </w:p>
    <w:p>
      <w:pPr>
        <w:pStyle w:val="P12"/>
      </w:pPr>
    </w:p>
    <w:p>
      <w:pPr>
        <w:pStyle w:val="P12"/>
      </w:pPr>
    </w:p>
    <w:p>
      <w:pPr>
        <w:pStyle w:val="P12"/>
      </w:pPr>
    </w:p>
    <w:p>
      <w:pPr>
        <w:pStyle w:val="P12"/>
      </w:pPr>
    </w:p>
    <w:p>
      <w:pPr>
        <w:pStyle w:val="P12"/>
      </w:pPr>
    </w:p>
    <w:p>
      <w:pPr>
        <w:pStyle w:val="P12"/>
      </w:pPr>
    </w:p>
    <w:p>
      <w:pPr>
        <w:pStyle w:val="P12"/>
      </w:pPr>
      <w:r>
        <w:t>...///3.-</w:t>
      </w:r>
    </w:p>
    <w:p>
      <w:pPr>
        <w:pStyle w:val="P12"/>
      </w:pPr>
    </w:p>
    <w:p>
      <w:pPr>
        <w:pStyle w:val="P12"/>
        <w:ind w:left="374"/>
      </w:pPr>
      <w:r>
        <w:t xml:space="preserve">establecido en el articulo 4º deberá requerir autorización extraordinaria de circulación a la Autoridad de Aplicación  o a quien este delegue- sin resignar competencia- mediante la presentación de la solicitud  pertinente y un diagrama de circulación tentativo que especifique las características de la carga las que en todos los casos deberá ajustarse a las condiciones y sistema de seguridad  impuesta por las disposiciones vigentes.</w:t>
      </w:r>
    </w:p>
    <w:p>
      <w:pPr>
        <w:pStyle w:val="P12"/>
        <w:ind w:left="374"/>
      </w:pPr>
      <w:r>
        <w:t xml:space="preserve">Si la autoridad de Aplicación no respondiera a la solicitud dentro de diez (10) días hábiles de presentada, la empresa, si la necesidad lo justifica, comenzara la actividad de acuerdo al diagrama presentado tentativamente, hasta tanto se expida al respeto  la autoridad de aplicación.-</w:t>
      </w:r>
    </w:p>
    <w:p>
      <w:pPr>
        <w:pStyle w:val="P12"/>
        <w:ind w:left="374"/>
      </w:pPr>
    </w:p>
    <w:p>
      <w:pPr>
        <w:pStyle w:val="P12"/>
        <w:ind w:hanging="374" w:left="374"/>
      </w:pPr>
      <w:r>
        <w:rPr>
          <w:rStyle w:val="C3"/>
          <w:b w:val="1"/>
          <w:u w:val="single"/>
        </w:rPr>
        <w:t>Art.6</w:t>
      </w:r>
      <w:r>
        <w:rPr>
          <w:rStyle w:val="C3"/>
          <w:b w:val="1"/>
        </w:rPr>
        <w:t>:</w:t>
      </w:r>
      <w:r>
        <w:t xml:space="preserve"> </w:t>
      </w:r>
      <w:r>
        <w:rPr>
          <w:rStyle w:val="C3"/>
          <w:b w:val="1"/>
        </w:rPr>
        <w:t>LAS</w:t>
      </w:r>
      <w:r>
        <w:t xml:space="preserve"> autorizaciones, de acuerdo a la solicitado y a criterio de la autoridad de Aplicación podrán ser otorgada por:</w:t>
      </w:r>
    </w:p>
    <w:p>
      <w:pPr>
        <w:pStyle w:val="P12"/>
        <w:ind w:left="374"/>
      </w:pPr>
      <w:r>
        <w:t xml:space="preserve">1. Por viaje único: Serán aquellas que  por su características así lo ameriten se tendrá en cuenta el tipo de vehiculo, características de la carga, cláusulas de seguridad y documentación emergente. De reunir estos requisitos la autorización deberá expedirse en un plazo no mayor a las 48 horas hábiles administrativas.</w:t>
      </w:r>
    </w:p>
    <w:p>
      <w:pPr>
        <w:pStyle w:val="P12"/>
        <w:ind w:left="374"/>
      </w:pPr>
      <w:r>
        <w:t xml:space="preserve">2. Por periodo: Estas autorizaciones podrán resultar otorgadas cuando la operatoria descripta en el inciso anterior se extienda por un plazo mayor. Esta clase de autorización deberá renovarse con iguales requisitos que la anterior dentro de plazo  de los diez (10) días  hábiles administrativos.-</w:t>
      </w:r>
    </w:p>
    <w:p>
      <w:pPr>
        <w:pStyle w:val="P12"/>
      </w:pPr>
    </w:p>
    <w:p>
      <w:pPr>
        <w:pStyle w:val="P12"/>
        <w:ind w:hanging="374" w:left="374"/>
      </w:pPr>
      <w:r>
        <w:rPr>
          <w:rStyle w:val="C3"/>
          <w:b w:val="1"/>
          <w:u w:val="single"/>
        </w:rPr>
        <w:t>Art.7</w:t>
      </w:r>
      <w:r>
        <w:rPr>
          <w:rStyle w:val="C3"/>
          <w:b w:val="1"/>
        </w:rPr>
        <w:t>:</w:t>
      </w:r>
      <w:r>
        <w:t xml:space="preserve"> En el caso de sistemas de transporte de carga por carretones, vehículos con carga de dimensiones especiales  o vehículos que tengan dimensiones, peso o potencia no adecuada a las arterias de tránsito, se considerara como  única excepción lo estipulado en el inicio (1) del articulo 6º; a tal efecto, el solicitante deberá demostrar fehacientemente la necesidad de la ruta propuesta y el destino perseguido, la imposibilidad de transferencia de la carga y/o descarga en espacios precisos.-</w:t>
      </w:r>
    </w:p>
    <w:p>
      <w:pPr>
        <w:pStyle w:val="P12"/>
        <w:jc w:val="right"/>
      </w:pPr>
      <w:r>
        <w:t>...///</w:t>
      </w:r>
    </w:p>
    <w:p>
      <w:pPr>
        <w:pStyle w:val="P12"/>
      </w:pPr>
    </w:p>
    <w:p>
      <w:pPr>
        <w:pStyle w:val="P12"/>
      </w:pPr>
    </w:p>
    <w:p>
      <w:pPr>
        <w:pStyle w:val="P12"/>
      </w:pPr>
    </w:p>
    <w:p>
      <w:pPr>
        <w:pStyle w:val="P12"/>
      </w:pPr>
    </w:p>
    <w:p>
      <w:pPr>
        <w:pStyle w:val="P12"/>
      </w:pPr>
    </w:p>
    <w:p>
      <w:pPr>
        <w:pStyle w:val="P12"/>
      </w:pPr>
    </w:p>
    <w:p>
      <w:pPr>
        <w:pStyle w:val="P12"/>
      </w:pPr>
      <w:r>
        <w:t>...///4.-</w:t>
      </w:r>
    </w:p>
    <w:p>
      <w:pPr>
        <w:pStyle w:val="P12"/>
      </w:pPr>
    </w:p>
    <w:p>
      <w:pPr>
        <w:pStyle w:val="P12"/>
        <w:ind w:hanging="374" w:left="374"/>
      </w:pPr>
      <w:r>
        <w:rPr>
          <w:rStyle w:val="C3"/>
          <w:b w:val="1"/>
          <w:u w:val="single"/>
        </w:rPr>
        <w:t>Art.8</w:t>
      </w:r>
      <w:r>
        <w:rPr>
          <w:rStyle w:val="C3"/>
          <w:b w:val="1"/>
        </w:rPr>
        <w:t>:</w:t>
      </w:r>
      <w:r>
        <w:t xml:space="preserve"> </w:t>
      </w:r>
      <w:r>
        <w:rPr>
          <w:rStyle w:val="C3"/>
          <w:b w:val="1"/>
        </w:rPr>
        <w:t>LA</w:t>
      </w:r>
      <w:r>
        <w:t xml:space="preserve"> Autoridad de Aplicación podrá convenir con la  Asociación que agrupe a los transportistas de carga, la colaboración en la recepción de las solicitudes ordenada en los artículos 5º, 6º y 7º de la presente, análisis de factibilidad y conveniencia de la ruta solicitada así como la revisión de los datos incluidos en la solicitud y demás especificaciones contenidas en esta norma o las que emanen a posterior de la autoridad municipal.-</w:t>
      </w:r>
    </w:p>
    <w:p>
      <w:pPr>
        <w:pStyle w:val="P12"/>
      </w:pPr>
    </w:p>
    <w:p>
      <w:pPr>
        <w:pStyle w:val="P12"/>
        <w:ind w:hanging="374" w:left="374"/>
      </w:pPr>
      <w:r>
        <w:rPr>
          <w:rStyle w:val="C3"/>
          <w:b w:val="1"/>
          <w:u w:val="single"/>
        </w:rPr>
        <w:t>Art.9</w:t>
      </w:r>
      <w:r>
        <w:rPr>
          <w:rStyle w:val="C3"/>
          <w:b w:val="1"/>
        </w:rPr>
        <w:t>:</w:t>
      </w:r>
      <w:r>
        <w:t xml:space="preserve"> </w:t>
      </w:r>
      <w:r>
        <w:rPr>
          <w:rStyle w:val="C3"/>
          <w:b w:val="1"/>
        </w:rPr>
        <w:t>ANTE</w:t>
      </w:r>
      <w:r>
        <w:t xml:space="preserve"> circunstancia de necesidad de uso de rutas alternativas para un VTP que se origine por una urgencia imprevista e impostergable, debidamente justificada, en tiempo de ausencia  administrativa, la empresa de transporte correspondiente deberá gestionar con posterioridad la autorización dentro del plazo no mayor a las 12:00 horas de la habilitación administrativa, incluyendo en la solicitud todos los datos técnicos y la justificación  de la urgencia.-</w:t>
      </w:r>
    </w:p>
    <w:p>
      <w:pPr>
        <w:pStyle w:val="P12"/>
      </w:pPr>
    </w:p>
    <w:p>
      <w:pPr>
        <w:pStyle w:val="P12"/>
        <w:ind w:hanging="374" w:left="374"/>
      </w:pPr>
      <w:r>
        <w:rPr>
          <w:rStyle w:val="C3"/>
          <w:b w:val="1"/>
          <w:u w:val="single"/>
        </w:rPr>
        <w:t>Art.10</w:t>
      </w:r>
      <w:r>
        <w:rPr>
          <w:rStyle w:val="C3"/>
          <w:b w:val="1"/>
        </w:rPr>
        <w:t>:</w:t>
      </w:r>
      <w:r>
        <w:t xml:space="preserve"> </w:t>
      </w:r>
      <w:r>
        <w:rPr>
          <w:rStyle w:val="C3"/>
          <w:b w:val="1"/>
        </w:rPr>
        <w:t>EN</w:t>
      </w:r>
      <w:r>
        <w:t xml:space="preserve"> el caso de cargas especiales, el Departamento Ejecutivo Municipal dispondrá las medidas necesarias para garantizar el acompañamiento del vehículo y las medidas de seguridad que corresponda, haciendo aplicación de la ordenanza impositiva vigente para la tasa de actuaciones administrativa, incrementándola en un 300% (TRESCIENTOS POR CIENTO).-</w:t>
      </w:r>
    </w:p>
    <w:p>
      <w:pPr>
        <w:pStyle w:val="P12"/>
      </w:pPr>
    </w:p>
    <w:p>
      <w:pPr>
        <w:pStyle w:val="P12"/>
        <w:jc w:val="center"/>
        <w:rPr>
          <w:rStyle w:val="C3"/>
          <w:b w:val="1"/>
        </w:rPr>
      </w:pPr>
      <w:r>
        <w:rPr>
          <w:rStyle w:val="C3"/>
          <w:b w:val="1"/>
        </w:rPr>
        <w:t>Estacionamiento para carga y descarga</w:t>
      </w:r>
    </w:p>
    <w:p>
      <w:pPr>
        <w:pStyle w:val="P12"/>
        <w:jc w:val="center"/>
        <w:rPr>
          <w:rStyle w:val="C3"/>
          <w:b w:val="1"/>
        </w:rPr>
      </w:pPr>
    </w:p>
    <w:p>
      <w:pPr>
        <w:pStyle w:val="P12"/>
        <w:ind w:hanging="374" w:left="374"/>
      </w:pPr>
      <w:r>
        <w:rPr>
          <w:rStyle w:val="C3"/>
          <w:b w:val="1"/>
          <w:u w:val="single"/>
        </w:rPr>
        <w:t>Art.11</w:t>
      </w:r>
      <w:r>
        <w:rPr>
          <w:rStyle w:val="C3"/>
          <w:b w:val="1"/>
        </w:rPr>
        <w:t>:</w:t>
      </w:r>
      <w:r>
        <w:t xml:space="preserve"> </w:t>
      </w:r>
      <w:r>
        <w:rPr>
          <w:rStyle w:val="C3"/>
          <w:b w:val="1"/>
        </w:rPr>
        <w:t>EL</w:t>
      </w:r>
      <w:r>
        <w:t xml:space="preserve"> estacionamiento para carga y descarga dentro de los sectores de estacionamiento medio y/o vedado al estacionamiento no podrá ser ejercido por VTP salvo que se haya previsto excepcionalmente en las autorizaciones de los artículos 6º, 7º, 8º, 9º o 10º para lo cual deberán adoptarse las medidas pertinentes, en tal caso el Departamento Ejecutivo Municipal dispondrá los horarios de las operaciones de acuerdo a las circunstancias particulares de cada caso. </w:t>
      </w:r>
    </w:p>
    <w:p>
      <w:pPr>
        <w:pStyle w:val="P12"/>
        <w:ind w:left="374"/>
      </w:pPr>
      <w:r>
        <w:t xml:space="preserve">Para el caso de los vehículos de carga previsto en el artículo 4º la maniobra de carga y/o descargas en espacios medida y/o vedada se llevara a cabo dentro del </w:t>
      </w:r>
    </w:p>
    <w:p>
      <w:pPr>
        <w:pStyle w:val="P12"/>
        <w:ind w:left="374"/>
        <w:jc w:val="right"/>
      </w:pPr>
      <w:r>
        <w:t>...///</w:t>
      </w:r>
    </w:p>
    <w:p>
      <w:pPr>
        <w:pStyle w:val="P12"/>
        <w:ind w:left="374"/>
      </w:pPr>
    </w:p>
    <w:p>
      <w:pPr>
        <w:pStyle w:val="P12"/>
        <w:ind w:left="374"/>
      </w:pPr>
    </w:p>
    <w:p>
      <w:pPr>
        <w:pStyle w:val="P12"/>
        <w:ind w:left="374"/>
      </w:pPr>
    </w:p>
    <w:p>
      <w:pPr>
        <w:pStyle w:val="P12"/>
        <w:ind w:left="374"/>
      </w:pPr>
    </w:p>
    <w:p>
      <w:pPr>
        <w:pStyle w:val="P12"/>
        <w:ind w:left="374"/>
      </w:pPr>
    </w:p>
    <w:p>
      <w:pPr>
        <w:pStyle w:val="P12"/>
        <w:ind w:left="374"/>
      </w:pPr>
    </w:p>
    <w:p>
      <w:pPr>
        <w:pStyle w:val="P12"/>
        <w:ind w:left="374"/>
      </w:pPr>
    </w:p>
    <w:p>
      <w:pPr>
        <w:pStyle w:val="P12"/>
      </w:pPr>
      <w:r>
        <w:t>...///5.-</w:t>
      </w:r>
    </w:p>
    <w:p>
      <w:pPr>
        <w:pStyle w:val="P12"/>
        <w:ind w:left="374"/>
      </w:pPr>
    </w:p>
    <w:p>
      <w:pPr>
        <w:pStyle w:val="P12"/>
        <w:ind w:left="374"/>
      </w:pPr>
      <w:r>
        <w:t>horario comprendido entre las 21:00 y las 09:00 horas y desde las 13:00 y hasta las 17:00 horas. En el resto de la ciudad será sin límite de tiempo.</w:t>
      </w:r>
    </w:p>
    <w:p>
      <w:pPr>
        <w:pStyle w:val="P12"/>
        <w:ind w:left="374"/>
      </w:pPr>
      <w:r>
        <w:t>El Departamento Ejecutivo Municipal gestionara la reserva de los primeros 25 metros de la mano derecha de la calzada y en el caso realizara las gestiones que correspondan con las Empresas concesionarias de estacionamiento medido para garantizar el cumplimiento de la presente.-</w:t>
      </w:r>
    </w:p>
    <w:p>
      <w:pPr>
        <w:pStyle w:val="P12"/>
      </w:pPr>
    </w:p>
    <w:p>
      <w:pPr>
        <w:pStyle w:val="P12"/>
        <w:ind w:hanging="374" w:left="374"/>
      </w:pPr>
      <w:r>
        <w:rPr>
          <w:rStyle w:val="C3"/>
          <w:b w:val="1"/>
          <w:u w:val="single"/>
        </w:rPr>
        <w:t>Art.12</w:t>
      </w:r>
      <w:r>
        <w:rPr>
          <w:rStyle w:val="C3"/>
          <w:b w:val="1"/>
        </w:rPr>
        <w:t>:</w:t>
      </w:r>
      <w:r>
        <w:t xml:space="preserve"> </w:t>
      </w:r>
      <w:r>
        <w:rPr>
          <w:rStyle w:val="C3"/>
          <w:b w:val="1"/>
        </w:rPr>
        <w:t>EN</w:t>
      </w:r>
      <w:r>
        <w:t xml:space="preserve"> casos excepcionales como en atención a medidas de seguridad y teniendo en cuenta el tipo especial de carga, previa solicitud de la autorización correspondiente, por la autoridad de Aplicación podrá autorizar el Estacionamiento  de las unidades sobre el cordón izquierdo para las maniobras de carga y/o descarga, arbitrando las medidas de seguridad necesarias para las condiciones del transito en la zona. La Autoridad de Aplicación podrá autorizar horarios especiales de acuerdo a situaciones  particulares, todo de acuerdo a los términos del Art 7º de la presente.-</w:t>
      </w:r>
    </w:p>
    <w:p>
      <w:pPr>
        <w:pStyle w:val="P12"/>
      </w:pPr>
    </w:p>
    <w:p>
      <w:pPr>
        <w:pStyle w:val="P12"/>
        <w:jc w:val="center"/>
        <w:rPr>
          <w:rStyle w:val="C3"/>
          <w:b w:val="1"/>
        </w:rPr>
      </w:pPr>
      <w:r>
        <w:rPr>
          <w:rStyle w:val="C3"/>
          <w:b w:val="1"/>
        </w:rPr>
        <w:t>Condiciones</w:t>
      </w:r>
    </w:p>
    <w:p>
      <w:pPr>
        <w:pStyle w:val="P12"/>
        <w:jc w:val="center"/>
        <w:rPr>
          <w:rStyle w:val="C3"/>
          <w:b w:val="1"/>
        </w:rPr>
      </w:pPr>
    </w:p>
    <w:p>
      <w:pPr>
        <w:pStyle w:val="P12"/>
        <w:ind w:hanging="374" w:left="374"/>
      </w:pPr>
      <w:r>
        <w:rPr>
          <w:rStyle w:val="C3"/>
          <w:b w:val="1"/>
          <w:u w:val="single"/>
        </w:rPr>
        <w:t>Art.13</w:t>
      </w:r>
      <w:r>
        <w:rPr>
          <w:rStyle w:val="C3"/>
          <w:b w:val="1"/>
        </w:rPr>
        <w:t>:</w:t>
      </w:r>
      <w:r>
        <w:t xml:space="preserve"> </w:t>
      </w:r>
      <w:r>
        <w:rPr>
          <w:rStyle w:val="C3"/>
          <w:b w:val="1"/>
        </w:rPr>
        <w:t>LOS</w:t>
      </w:r>
      <w:r>
        <w:t xml:space="preserve"> vehículos de carga, los elementos transportados y el personal de abordo, que circulen dentro del ámbito del municipio deberá reunir los requisitos establecidos en el Código de Transito los que podrán ser requeridos por la Autoridad de Aplicación  cuantas veces resulte procedente.-</w:t>
      </w:r>
    </w:p>
    <w:p>
      <w:pPr>
        <w:pStyle w:val="P12"/>
      </w:pPr>
    </w:p>
    <w:p>
      <w:pPr>
        <w:pStyle w:val="P12"/>
        <w:jc w:val="center"/>
        <w:rPr>
          <w:rStyle w:val="C3"/>
          <w:b w:val="1"/>
        </w:rPr>
      </w:pPr>
      <w:r>
        <w:rPr>
          <w:rStyle w:val="C3"/>
          <w:b w:val="1"/>
        </w:rPr>
        <w:t>Contralor</w:t>
      </w:r>
    </w:p>
    <w:p>
      <w:pPr>
        <w:pStyle w:val="P12"/>
        <w:jc w:val="center"/>
        <w:rPr>
          <w:rStyle w:val="C3"/>
          <w:b w:val="1"/>
        </w:rPr>
      </w:pPr>
    </w:p>
    <w:p>
      <w:pPr>
        <w:pStyle w:val="P12"/>
        <w:ind w:hanging="374" w:left="374"/>
      </w:pPr>
      <w:r>
        <w:rPr>
          <w:rStyle w:val="C3"/>
          <w:b w:val="1"/>
          <w:u w:val="single"/>
        </w:rPr>
        <w:t>Art.14</w:t>
      </w:r>
      <w:r>
        <w:rPr>
          <w:rStyle w:val="C3"/>
          <w:b w:val="1"/>
        </w:rPr>
        <w:t>:</w:t>
      </w:r>
      <w:r>
        <w:t xml:space="preserve"> </w:t>
      </w:r>
      <w:r>
        <w:rPr>
          <w:rStyle w:val="C3"/>
          <w:b w:val="1"/>
        </w:rPr>
        <w:t>PARA</w:t>
      </w:r>
      <w:r>
        <w:t xml:space="preserve"> exigir el cumplimiento de la presente disposición,  la Autoridad de Aplicación  ordenará la difusión, capacitación y los controles que estime necesario. Promoverá la formalización de convenios que consideren necesarios con organismos nacionales, provinciales o municipales, públicos o privados, para lo cual implementara en forma conjunta la difusión de la presente norma.-</w:t>
      </w:r>
    </w:p>
    <w:p>
      <w:pPr>
        <w:pStyle w:val="P12"/>
        <w:ind w:hanging="374" w:left="374"/>
        <w:jc w:val="right"/>
      </w:pPr>
      <w:r>
        <w:t>...///</w:t>
      </w:r>
    </w:p>
    <w:p>
      <w:pPr>
        <w:pStyle w:val="P12"/>
        <w:ind w:hanging="374" w:left="374"/>
      </w:pPr>
    </w:p>
    <w:p>
      <w:pPr>
        <w:pStyle w:val="P12"/>
        <w:ind w:hanging="374" w:left="374"/>
      </w:pPr>
    </w:p>
    <w:p>
      <w:pPr>
        <w:pStyle w:val="P12"/>
        <w:ind w:hanging="374" w:left="374"/>
      </w:pPr>
    </w:p>
    <w:p>
      <w:pPr>
        <w:pStyle w:val="P12"/>
      </w:pPr>
    </w:p>
    <w:p>
      <w:pPr>
        <w:pStyle w:val="P12"/>
      </w:pPr>
    </w:p>
    <w:p>
      <w:pPr>
        <w:pStyle w:val="P12"/>
      </w:pPr>
    </w:p>
    <w:p>
      <w:pPr>
        <w:pStyle w:val="P12"/>
      </w:pPr>
    </w:p>
    <w:p>
      <w:pPr>
        <w:pStyle w:val="P12"/>
      </w:pPr>
      <w:r>
        <w:t>...///6.-</w:t>
      </w:r>
    </w:p>
    <w:p>
      <w:pPr>
        <w:pStyle w:val="P12"/>
      </w:pPr>
    </w:p>
    <w:p>
      <w:pPr>
        <w:pStyle w:val="P12"/>
        <w:jc w:val="center"/>
        <w:rPr>
          <w:rStyle w:val="C3"/>
          <w:b w:val="1"/>
        </w:rPr>
      </w:pPr>
      <w:r>
        <w:rPr>
          <w:rStyle w:val="C3"/>
          <w:b w:val="1"/>
        </w:rPr>
        <w:t>Playa de Estacionamiento y transferencia</w:t>
      </w:r>
    </w:p>
    <w:p>
      <w:pPr>
        <w:pStyle w:val="P12"/>
        <w:jc w:val="center"/>
        <w:rPr>
          <w:rStyle w:val="C3"/>
          <w:b w:val="1"/>
        </w:rPr>
      </w:pPr>
    </w:p>
    <w:p>
      <w:pPr>
        <w:pStyle w:val="P12"/>
        <w:ind w:hanging="374" w:left="374"/>
      </w:pPr>
      <w:r>
        <w:rPr>
          <w:rStyle w:val="C3"/>
          <w:b w:val="1"/>
          <w:u w:val="single"/>
        </w:rPr>
        <w:t>Art.15</w:t>
      </w:r>
      <w:r>
        <w:rPr>
          <w:rStyle w:val="C3"/>
          <w:b w:val="1"/>
        </w:rPr>
        <w:t>:</w:t>
      </w:r>
      <w:r>
        <w:t xml:space="preserve"> </w:t>
      </w:r>
      <w:r>
        <w:rPr>
          <w:rStyle w:val="C3"/>
          <w:b w:val="1"/>
        </w:rPr>
        <w:t>EL</w:t>
      </w:r>
      <w:r>
        <w:t xml:space="preserve"> Departamento Ejecutivo Municipal deberá arbitrar las medidas para implementar en forma efectiva Playa de Estacionamiento y transferencia  para lo cual podrá convocar a las Empresas de transporte, Asociaciones y/o particulares a presentar proyectos.-</w:t>
      </w:r>
    </w:p>
    <w:p>
      <w:pPr>
        <w:pStyle w:val="P12"/>
        <w:ind w:hanging="374" w:left="374"/>
      </w:pPr>
    </w:p>
    <w:p>
      <w:pPr>
        <w:pStyle w:val="P12"/>
        <w:jc w:val="center"/>
        <w:rPr>
          <w:rStyle w:val="C3"/>
          <w:b w:val="1"/>
        </w:rPr>
      </w:pPr>
      <w:r>
        <w:rPr>
          <w:rStyle w:val="C3"/>
          <w:b w:val="1"/>
        </w:rPr>
        <w:t xml:space="preserve">Consideraciones  Gen</w:t>
      </w:r>
      <w:r>
        <w:rPr>
          <w:rStyle w:val="C3"/>
          <w:b w:val="1"/>
        </w:rPr>
        <w:t>erales</w:t>
      </w:r>
    </w:p>
    <w:p>
      <w:pPr>
        <w:pStyle w:val="P12"/>
        <w:rPr>
          <w:rStyle w:val="C3"/>
        </w:rPr>
      </w:pPr>
    </w:p>
    <w:p>
      <w:pPr>
        <w:pStyle w:val="P12"/>
        <w:ind w:hanging="374" w:left="374"/>
      </w:pPr>
      <w:r>
        <w:rPr>
          <w:rStyle w:val="C3"/>
          <w:b w:val="1"/>
          <w:u w:val="single"/>
        </w:rPr>
        <w:t>Art.16</w:t>
      </w:r>
      <w:r>
        <w:rPr>
          <w:rStyle w:val="C3"/>
          <w:b w:val="1"/>
        </w:rPr>
        <w:t>:</w:t>
      </w:r>
      <w:r>
        <w:t xml:space="preserve"> </w:t>
      </w:r>
      <w:r>
        <w:rPr>
          <w:rStyle w:val="C3"/>
          <w:b w:val="1"/>
        </w:rPr>
        <w:t>EL</w:t>
      </w:r>
      <w:r>
        <w:t xml:space="preserve"> Departamento Ejecutivo Municipal reglamentara la presente ordenanza y  quedara autorizada a dirimir cualquier situación no prevista en la presente así como establecer   excepciones o de emergencia imposibiliten su cumplimiento. En tal caso el Departamento Ejecutivo Municipal deberá consignar el nuevo recorrido mediante el acto administrativo correspondiente.-</w:t>
      </w:r>
    </w:p>
    <w:p>
      <w:pPr>
        <w:pStyle w:val="P12"/>
      </w:pPr>
    </w:p>
    <w:p>
      <w:pPr>
        <w:pStyle w:val="P12"/>
        <w:ind w:hanging="374" w:left="374"/>
      </w:pPr>
      <w:r>
        <w:rPr>
          <w:rStyle w:val="C3"/>
          <w:b w:val="1"/>
          <w:u w:val="single"/>
        </w:rPr>
        <w:t>Art.17</w:t>
      </w:r>
      <w:r>
        <w:rPr>
          <w:rStyle w:val="C3"/>
          <w:b w:val="1"/>
        </w:rPr>
        <w:t>:</w:t>
      </w:r>
      <w:r>
        <w:t xml:space="preserve"> </w:t>
      </w:r>
      <w:r>
        <w:rPr>
          <w:rStyle w:val="C3"/>
          <w:b w:val="1"/>
        </w:rPr>
        <w:t>LA</w:t>
      </w:r>
      <w:r>
        <w:t xml:space="preserve"> Autoridad de Aplicación para la presente Ordenanza será la Secretaria General y de Coordinación Administrativa o la que la reemplace en el futuro.-</w:t>
      </w:r>
    </w:p>
    <w:p>
      <w:pPr>
        <w:pStyle w:val="P12"/>
      </w:pPr>
    </w:p>
    <w:p>
      <w:pPr>
        <w:pStyle w:val="P12"/>
        <w:ind w:hanging="374" w:left="374"/>
      </w:pPr>
      <w:r>
        <w:rPr>
          <w:rStyle w:val="C3"/>
          <w:b w:val="1"/>
          <w:u w:val="single"/>
        </w:rPr>
        <w:t>Art.18</w:t>
      </w:r>
      <w:r>
        <w:rPr>
          <w:rStyle w:val="C3"/>
          <w:b w:val="1"/>
        </w:rPr>
        <w:t>:</w:t>
      </w:r>
      <w:r>
        <w:t xml:space="preserve"> </w:t>
      </w:r>
      <w:r>
        <w:rPr>
          <w:rStyle w:val="C3"/>
          <w:b w:val="1"/>
        </w:rPr>
        <w:t>EL</w:t>
      </w:r>
      <w:r>
        <w:t xml:space="preserve"> Departamento Ejecutivo Municipal dispondrá los lugares y formas mas conveniente de señalización y difusión de lo dispuesto en la presente Ordenanza y su reglamento. Asimismo se  procederá a realizar la comunicación pertinente y en forma directa a la entidad que pudiera tener ingerencia en el sector.- </w:t>
      </w:r>
    </w:p>
    <w:p>
      <w:pPr>
        <w:pStyle w:val="P12"/>
      </w:pPr>
    </w:p>
    <w:p>
      <w:pPr>
        <w:pStyle w:val="P12"/>
        <w:ind w:hanging="374" w:left="374"/>
      </w:pPr>
      <w:r>
        <w:rPr>
          <w:rStyle w:val="C3"/>
          <w:b w:val="1"/>
          <w:u w:val="single"/>
        </w:rPr>
        <w:t>Art.19</w:t>
      </w:r>
      <w:r>
        <w:rPr>
          <w:rStyle w:val="C3"/>
          <w:b w:val="1"/>
        </w:rPr>
        <w:t>:</w:t>
      </w:r>
      <w:r>
        <w:t xml:space="preserve"> Derogase la Ordenanza Nº 5188 y toda otra norma que se oponga a la presente.-</w:t>
      </w:r>
    </w:p>
    <w:p>
      <w:pPr>
        <w:pStyle w:val="P12"/>
        <w:ind w:hanging="374" w:left="374"/>
        <w:rPr>
          <w:rStyle w:val="C3"/>
          <w:b w:val="1"/>
          <w:u w:val="single"/>
        </w:rPr>
      </w:pPr>
    </w:p>
    <w:p>
      <w:pPr>
        <w:pStyle w:val="P12"/>
        <w:ind w:hanging="374" w:left="374"/>
        <w:rPr>
          <w:rStyle w:val="C3"/>
        </w:rPr>
      </w:pPr>
      <w:r>
        <w:rPr>
          <w:rStyle w:val="C3"/>
          <w:b w:val="1"/>
          <w:u w:val="single"/>
        </w:rPr>
        <w:t>Art.</w:t>
      </w:r>
      <w:r>
        <w:rPr>
          <w:rStyle w:val="C3"/>
          <w:b w:val="1"/>
          <w:u w:val="single"/>
        </w:rPr>
        <w:t xml:space="preserve"> 19 bis</w:t>
      </w:r>
      <w:r>
        <w:t>: ESTABLÉCESE para la aplicación de la presente (45) cuarenta y cinco días corridos a contar desde la promulgación de esta modificación</w:t>
      </w:r>
      <w:r>
        <w:rPr>
          <w:rStyle w:val="C5"/>
        </w:rPr>
        <w:footnoteReference w:id="1"/>
      </w:r>
      <w:r>
        <w:rPr>
          <w:rStyle w:val="C3"/>
        </w:rPr>
        <w:t>.</w:t>
      </w:r>
    </w:p>
    <w:p>
      <w:pPr>
        <w:pStyle w:val="P17"/>
        <w:ind w:hanging="561"/>
        <w:rPr>
          <w:rStyle w:val="C3"/>
          <w:b w:val="1"/>
          <w:u w:val="single"/>
        </w:rPr>
      </w:pPr>
    </w:p>
    <w:p>
      <w:pPr>
        <w:ind w:hanging="561" w:left="561"/>
        <w:jc w:val="both"/>
        <w:rPr>
          <w:rStyle w:val="C3"/>
          <w:rFonts w:ascii="Courier New" w:hAnsi="Courier New"/>
        </w:rPr>
      </w:pPr>
      <w:r>
        <w:rPr>
          <w:rStyle w:val="C3"/>
          <w:rFonts w:ascii="Courier New" w:hAnsi="Courier New"/>
          <w:b w:val="1"/>
          <w:u w:val="single"/>
        </w:rPr>
        <w:t>Art.20</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9"/>
        <w:ind w:left="0"/>
      </w:pPr>
      <w:r>
        <w:t>DADA EN LA SALA DE SESIONES DEL HONORABLE CONCEJO DELIBERANTE A LOS DIECINUEVE DIAS DEL MES DE DICIEMBRE DEL AÑO DOS MIL OCHO.-</w:t>
      </w:r>
    </w:p>
    <w:p>
      <w:pPr>
        <w:jc w:val="both"/>
        <w:rPr>
          <w:rStyle w:val="C3"/>
          <w:rFonts w:ascii="Courier New" w:hAnsi="Courier New"/>
        </w:rPr>
      </w:pPr>
    </w:p>
    <w:sectPr>
      <w:type w:val="continuous"/>
      <w:pgSz w:w="11908" w:h="16833" w:code="0"/>
      <w:pgMar w:left="1701" w:right="1701" w:top="1418" w:bottom="1418" w:header="720" w:footer="720" w:gutter="0"/>
      <w:pgNumType w:start="1"/>
      <w:cols w:equalWidth="1" w:space="72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22"/>
        <w:rPr>
          <w:rStyle w:val="C3"/>
          <w:rFonts w:ascii="Calibri" w:hAnsi="Calibri"/>
        </w:rPr>
      </w:pPr>
      <w:r>
        <w:rPr>
          <w:rStyle w:val="C5"/>
          <w:rFonts w:ascii="Times New Roman" w:hAnsi="Times New Roman"/>
        </w:rPr>
        <w:footnoteRef/>
      </w:r>
      <w:r>
        <w:rPr>
          <w:rStyle w:val="C3"/>
          <w:rFonts w:ascii="Calibri" w:hAnsi="Calibri"/>
        </w:rPr>
        <w:t xml:space="preserve"> Texto agregado mediante Ord. Nro. 8566</w:t>
      </w:r>
    </w:p>
  </w:footnote>
  <w:footnote w:id="1">
    <w:p>
      <w:pPr>
        <w:pStyle w:val="P22"/>
        <w:rPr>
          <w:rStyle w:val="C3"/>
          <w:rFonts w:ascii="Calibri" w:hAnsi="Calibri"/>
        </w:rPr>
      </w:pPr>
      <w:r>
        <w:rPr>
          <w:rStyle w:val="C5"/>
          <w:rFonts w:ascii="Times New Roman" w:hAnsi="Times New Roman"/>
        </w:rPr>
        <w:footnoteRef/>
      </w:r>
      <w:r>
        <w:rPr>
          <w:rStyle w:val="C3"/>
          <w:rFonts w:ascii="Calibri" w:hAnsi="Calibri"/>
        </w:rPr>
        <w:t xml:space="preserve">  Artículo incorporado mediante Ord. Nro. 8376.</w:t>
      </w:r>
    </w:p>
  </w:footnote>
</w:footnotes>
</file>

<file path=word/numbering.xml><?xml version="1.0" encoding="utf-8"?>
<w:numbering xmlns:w="http://schemas.openxmlformats.org/wordprocessingml/2006/main">
  <w:abstractNum w:abstractNumId="0">
    <w:nsid w:val="028900A4"/>
    <w:multiLevelType w:val="multilevel"/>
    <w:lvl w:ilvl="0">
      <w:start w:val="1"/>
      <w:numFmt w:val="decimal"/>
      <w:suff w:val="tab"/>
      <w:lvlText w:val="%1)"/>
      <w:lvlJc w:val="left"/>
      <w:pPr>
        <w:ind w:hanging="360" w:left="921"/>
        <w:tabs>
          <w:tab w:val="left" w:pos="92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5B3ADF"/>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146A6B4A"/>
    <w:multiLevelType w:val="multilevel"/>
    <w:lvl w:ilvl="0">
      <w:start w:val="1"/>
      <w:numFmt w:val="decimal"/>
      <w:suff w:val="tab"/>
      <w:lvlText w:val="%1)"/>
      <w:lvlJc w:val="left"/>
      <w:pPr>
        <w:ind w:hanging="480" w:left="84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21A02CE3"/>
    <w:multiLevelType w:val="multilevel"/>
    <w:lvl w:ilvl="0">
      <w:start w:val="1"/>
      <w:numFmt w:val="decimal"/>
      <w:suff w:val="tab"/>
      <w:lvlText w:val="%1)"/>
      <w:lvlJc w:val="left"/>
      <w:pPr>
        <w:ind w:hanging="465" w:left="1174"/>
        <w:tabs>
          <w:tab w:val="left" w:pos="1174"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F074D76"/>
    <w:multiLevelType w:val="hybridMultilevel"/>
    <w:lvl w:ilvl="0" w:tplc="789EBB4B">
      <w:start w:val="1"/>
      <w:numFmt w:val="bullet"/>
      <w:suff w:val="tab"/>
      <w:lvlText w:val="o"/>
      <w:lvlJc w:val="left"/>
      <w:pPr>
        <w:ind w:hanging="360" w:left="720"/>
        <w:tabs>
          <w:tab w:val="left" w:pos="720" w:leader="none"/>
        </w:tabs>
      </w:pPr>
      <w:rPr>
        <w:rFonts w:ascii="Courier New" w:hAnsi="Courier New"/>
      </w:rPr>
    </w:lvl>
    <w:lvl w:ilvl="1" w:tplc="10A9986F">
      <w:start w:val="1"/>
      <w:numFmt w:val="bullet"/>
      <w:suff w:val="tab"/>
      <w:lvlText w:val="o"/>
      <w:lvlJc w:val="left"/>
      <w:pPr>
        <w:ind w:hanging="360" w:left="1440"/>
        <w:tabs>
          <w:tab w:val="left" w:pos="1440" w:leader="none"/>
        </w:tabs>
      </w:pPr>
      <w:rPr>
        <w:rFonts w:ascii="Courier New" w:hAnsi="Courier New"/>
      </w:rPr>
    </w:lvl>
    <w:lvl w:ilvl="2" w:tplc="3533FA95">
      <w:start w:val="1"/>
      <w:numFmt w:val="bullet"/>
      <w:suff w:val="tab"/>
      <w:lvlText w:val=""/>
      <w:lvlJc w:val="left"/>
      <w:pPr>
        <w:ind w:hanging="360" w:left="2160"/>
        <w:tabs>
          <w:tab w:val="left" w:pos="2160" w:leader="none"/>
        </w:tabs>
      </w:pPr>
      <w:rPr>
        <w:rFonts w:ascii="Wingdings" w:hAnsi="Wingdings"/>
      </w:rPr>
    </w:lvl>
    <w:lvl w:ilvl="3" w:tplc="708EF1C1">
      <w:start w:val="1"/>
      <w:numFmt w:val="bullet"/>
      <w:suff w:val="tab"/>
      <w:lvlText w:val=""/>
      <w:lvlJc w:val="left"/>
      <w:pPr>
        <w:ind w:hanging="360" w:left="2880"/>
        <w:tabs>
          <w:tab w:val="left" w:pos="2880" w:leader="none"/>
        </w:tabs>
      </w:pPr>
      <w:rPr>
        <w:rFonts w:ascii="Symbol" w:hAnsi="Symbol"/>
      </w:rPr>
    </w:lvl>
    <w:lvl w:ilvl="4" w:tplc="1F1BC4CD">
      <w:start w:val="1"/>
      <w:numFmt w:val="bullet"/>
      <w:suff w:val="tab"/>
      <w:lvlText w:val="o"/>
      <w:lvlJc w:val="left"/>
      <w:pPr>
        <w:ind w:hanging="360" w:left="3600"/>
        <w:tabs>
          <w:tab w:val="left" w:pos="3600" w:leader="none"/>
        </w:tabs>
      </w:pPr>
      <w:rPr>
        <w:rFonts w:ascii="Courier New" w:hAnsi="Courier New"/>
      </w:rPr>
    </w:lvl>
    <w:lvl w:ilvl="5" w:tplc="74D1C349">
      <w:start w:val="1"/>
      <w:numFmt w:val="bullet"/>
      <w:suff w:val="tab"/>
      <w:lvlText w:val=""/>
      <w:lvlJc w:val="left"/>
      <w:pPr>
        <w:ind w:hanging="360" w:left="4320"/>
        <w:tabs>
          <w:tab w:val="left" w:pos="4320" w:leader="none"/>
        </w:tabs>
      </w:pPr>
      <w:rPr>
        <w:rFonts w:ascii="Wingdings" w:hAnsi="Wingdings"/>
      </w:rPr>
    </w:lvl>
    <w:lvl w:ilvl="6" w:tplc="4F4DCCB3">
      <w:start w:val="1"/>
      <w:numFmt w:val="bullet"/>
      <w:suff w:val="tab"/>
      <w:lvlText w:val=""/>
      <w:lvlJc w:val="left"/>
      <w:pPr>
        <w:ind w:hanging="360" w:left="5040"/>
        <w:tabs>
          <w:tab w:val="left" w:pos="5040" w:leader="none"/>
        </w:tabs>
      </w:pPr>
      <w:rPr>
        <w:rFonts w:ascii="Symbol" w:hAnsi="Symbol"/>
      </w:rPr>
    </w:lvl>
    <w:lvl w:ilvl="7" w:tplc="65EA6D85">
      <w:start w:val="1"/>
      <w:numFmt w:val="bullet"/>
      <w:suff w:val="tab"/>
      <w:lvlText w:val="o"/>
      <w:lvlJc w:val="left"/>
      <w:pPr>
        <w:ind w:hanging="360" w:left="5760"/>
        <w:tabs>
          <w:tab w:val="left" w:pos="5760" w:leader="none"/>
        </w:tabs>
      </w:pPr>
      <w:rPr>
        <w:rFonts w:ascii="Courier New" w:hAnsi="Courier New"/>
      </w:rPr>
    </w:lvl>
    <w:lvl w:ilvl="8" w:tplc="5D680255">
      <w:start w:val="1"/>
      <w:numFmt w:val="bullet"/>
      <w:suff w:val="tab"/>
      <w:lvlText w:val=""/>
      <w:lvlJc w:val="left"/>
      <w:pPr>
        <w:ind w:hanging="360" w:left="6480"/>
        <w:tabs>
          <w:tab w:val="left" w:pos="6480" w:leader="none"/>
        </w:tabs>
      </w:pPr>
      <w:rPr>
        <w:rFonts w:ascii="Wingdings" w:hAnsi="Wingdings"/>
      </w:rPr>
    </w:lvl>
  </w:abstractNum>
  <w:abstractNum w:abstractNumId="6">
    <w:nsid w:val="33810D64"/>
    <w:multiLevelType w:val="multilevel"/>
    <w:lvl w:ilvl="0">
      <w:start w:val="1"/>
      <w:numFmt w:val="lowerLetter"/>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47E26456"/>
    <w:multiLevelType w:val="multilevel"/>
    <w:lvl w:ilvl="0">
      <w:start w:val="1"/>
      <w:numFmt w:val="decimal"/>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56636AF2"/>
    <w:multiLevelType w:val="hybridMultilevel"/>
    <w:lvl w:ilvl="0" w:tplc="4D79684C">
      <w:start w:val="1"/>
      <w:numFmt w:val="bullet"/>
      <w:suff w:val="tab"/>
      <w:lvlText w:val="o"/>
      <w:lvlJc w:val="left"/>
      <w:pPr>
        <w:ind w:hanging="360" w:left="720"/>
        <w:tabs>
          <w:tab w:val="left" w:pos="720" w:leader="none"/>
        </w:tabs>
      </w:pPr>
      <w:rPr>
        <w:rFonts w:ascii="Courier New" w:hAnsi="Courier New"/>
      </w:rPr>
    </w:lvl>
    <w:lvl w:ilvl="1" w:tplc="103E09E4">
      <w:start w:val="1"/>
      <w:numFmt w:val="bullet"/>
      <w:suff w:val="tab"/>
      <w:lvlText w:val="o"/>
      <w:lvlJc w:val="left"/>
      <w:pPr>
        <w:ind w:hanging="360" w:left="1440"/>
        <w:tabs>
          <w:tab w:val="left" w:pos="1440" w:leader="none"/>
        </w:tabs>
      </w:pPr>
      <w:rPr>
        <w:rFonts w:ascii="Courier New" w:hAnsi="Courier New"/>
      </w:rPr>
    </w:lvl>
    <w:lvl w:ilvl="2" w:tplc="60AEBD5E">
      <w:start w:val="1"/>
      <w:numFmt w:val="bullet"/>
      <w:suff w:val="tab"/>
      <w:lvlText w:val=""/>
      <w:lvlJc w:val="left"/>
      <w:pPr>
        <w:ind w:hanging="360" w:left="2160"/>
        <w:tabs>
          <w:tab w:val="left" w:pos="2160" w:leader="none"/>
        </w:tabs>
      </w:pPr>
      <w:rPr>
        <w:rFonts w:ascii="Wingdings" w:hAnsi="Wingdings"/>
      </w:rPr>
    </w:lvl>
    <w:lvl w:ilvl="3" w:tplc="7869822D">
      <w:start w:val="1"/>
      <w:numFmt w:val="bullet"/>
      <w:suff w:val="tab"/>
      <w:lvlText w:val=""/>
      <w:lvlJc w:val="left"/>
      <w:pPr>
        <w:ind w:hanging="360" w:left="2880"/>
        <w:tabs>
          <w:tab w:val="left" w:pos="2880" w:leader="none"/>
        </w:tabs>
      </w:pPr>
      <w:rPr>
        <w:rFonts w:ascii="Symbol" w:hAnsi="Symbol"/>
      </w:rPr>
    </w:lvl>
    <w:lvl w:ilvl="4" w:tplc="39308911">
      <w:start w:val="1"/>
      <w:numFmt w:val="bullet"/>
      <w:suff w:val="tab"/>
      <w:lvlText w:val="o"/>
      <w:lvlJc w:val="left"/>
      <w:pPr>
        <w:ind w:hanging="360" w:left="3600"/>
        <w:tabs>
          <w:tab w:val="left" w:pos="3600" w:leader="none"/>
        </w:tabs>
      </w:pPr>
      <w:rPr>
        <w:rFonts w:ascii="Courier New" w:hAnsi="Courier New"/>
      </w:rPr>
    </w:lvl>
    <w:lvl w:ilvl="5" w:tplc="679565D2">
      <w:start w:val="1"/>
      <w:numFmt w:val="bullet"/>
      <w:suff w:val="tab"/>
      <w:lvlText w:val=""/>
      <w:lvlJc w:val="left"/>
      <w:pPr>
        <w:ind w:hanging="360" w:left="4320"/>
        <w:tabs>
          <w:tab w:val="left" w:pos="4320" w:leader="none"/>
        </w:tabs>
      </w:pPr>
      <w:rPr>
        <w:rFonts w:ascii="Wingdings" w:hAnsi="Wingdings"/>
      </w:rPr>
    </w:lvl>
    <w:lvl w:ilvl="6" w:tplc="139E9ED6">
      <w:start w:val="1"/>
      <w:numFmt w:val="bullet"/>
      <w:suff w:val="tab"/>
      <w:lvlText w:val=""/>
      <w:lvlJc w:val="left"/>
      <w:pPr>
        <w:ind w:hanging="360" w:left="5040"/>
        <w:tabs>
          <w:tab w:val="left" w:pos="5040" w:leader="none"/>
        </w:tabs>
      </w:pPr>
      <w:rPr>
        <w:rFonts w:ascii="Symbol" w:hAnsi="Symbol"/>
      </w:rPr>
    </w:lvl>
    <w:lvl w:ilvl="7" w:tplc="56A00F2B">
      <w:start w:val="1"/>
      <w:numFmt w:val="bullet"/>
      <w:suff w:val="tab"/>
      <w:lvlText w:val="o"/>
      <w:lvlJc w:val="left"/>
      <w:pPr>
        <w:ind w:hanging="360" w:left="5760"/>
        <w:tabs>
          <w:tab w:val="left" w:pos="5760" w:leader="none"/>
        </w:tabs>
      </w:pPr>
      <w:rPr>
        <w:rFonts w:ascii="Courier New" w:hAnsi="Courier New"/>
      </w:rPr>
    </w:lvl>
    <w:lvl w:ilvl="8" w:tplc="6718DFDF">
      <w:start w:val="1"/>
      <w:numFmt w:val="bullet"/>
      <w:suff w:val="tab"/>
      <w:lvlText w:val=""/>
      <w:lvlJc w:val="left"/>
      <w:pPr>
        <w:ind w:hanging="360" w:left="6480"/>
        <w:tabs>
          <w:tab w:val="left" w:pos="6480" w:leader="none"/>
        </w:tabs>
      </w:pPr>
      <w:rPr>
        <w:rFonts w:ascii="Wingdings" w:hAnsi="Wingdings"/>
      </w:rPr>
    </w:lvl>
  </w:abstractNum>
  <w:abstractNum w:abstractNumId="9">
    <w:nsid w:val="6FE97DDB"/>
    <w:multiLevelType w:val="multilevel"/>
    <w:lvl w:ilvl="0">
      <w:start w:val="3"/>
      <w:numFmt w:val="decimal"/>
      <w:suff w:val="tab"/>
      <w:lvlText w:val="%1)"/>
      <w:lvlJc w:val="left"/>
      <w:pPr>
        <w:ind w:hanging="360" w:left="720"/>
        <w:tabs>
          <w:tab w:val="left" w:pos="7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7F677762"/>
    <w:multiLevelType w:val="hybridMultilevel"/>
    <w:lvl w:ilvl="0" w:tplc="459D411D">
      <w:start w:val="1"/>
      <w:numFmt w:val="bullet"/>
      <w:suff w:val="tab"/>
      <w:lvlText w:val="o"/>
      <w:lvlJc w:val="left"/>
      <w:pPr>
        <w:ind w:hanging="360" w:left="720"/>
        <w:tabs>
          <w:tab w:val="left" w:pos="720" w:leader="none"/>
        </w:tabs>
      </w:pPr>
      <w:rPr>
        <w:rFonts w:ascii="Courier New" w:hAnsi="Courier New"/>
      </w:rPr>
    </w:lvl>
    <w:lvl w:ilvl="1" w:tplc="1AF8527D">
      <w:start w:val="1"/>
      <w:numFmt w:val="bullet"/>
      <w:suff w:val="tab"/>
      <w:lvlText w:val="o"/>
      <w:lvlJc w:val="left"/>
      <w:pPr>
        <w:ind w:hanging="360" w:left="1440"/>
        <w:tabs>
          <w:tab w:val="left" w:pos="1440" w:leader="none"/>
        </w:tabs>
      </w:pPr>
      <w:rPr>
        <w:rFonts w:ascii="Courier New" w:hAnsi="Courier New"/>
      </w:rPr>
    </w:lvl>
    <w:lvl w:ilvl="2" w:tplc="5DC71DED">
      <w:start w:val="1"/>
      <w:numFmt w:val="bullet"/>
      <w:suff w:val="tab"/>
      <w:lvlText w:val=""/>
      <w:lvlJc w:val="left"/>
      <w:pPr>
        <w:ind w:hanging="360" w:left="2160"/>
        <w:tabs>
          <w:tab w:val="left" w:pos="2160" w:leader="none"/>
        </w:tabs>
      </w:pPr>
      <w:rPr>
        <w:rFonts w:ascii="Wingdings" w:hAnsi="Wingdings"/>
      </w:rPr>
    </w:lvl>
    <w:lvl w:ilvl="3" w:tplc="74F1B379">
      <w:start w:val="1"/>
      <w:numFmt w:val="bullet"/>
      <w:suff w:val="tab"/>
      <w:lvlText w:val=""/>
      <w:lvlJc w:val="left"/>
      <w:pPr>
        <w:ind w:hanging="360" w:left="2880"/>
        <w:tabs>
          <w:tab w:val="left" w:pos="2880" w:leader="none"/>
        </w:tabs>
      </w:pPr>
      <w:rPr>
        <w:rFonts w:ascii="Symbol" w:hAnsi="Symbol"/>
      </w:rPr>
    </w:lvl>
    <w:lvl w:ilvl="4" w:tplc="3249842A">
      <w:start w:val="1"/>
      <w:numFmt w:val="bullet"/>
      <w:suff w:val="tab"/>
      <w:lvlText w:val="o"/>
      <w:lvlJc w:val="left"/>
      <w:pPr>
        <w:ind w:hanging="360" w:left="3600"/>
        <w:tabs>
          <w:tab w:val="left" w:pos="3600" w:leader="none"/>
        </w:tabs>
      </w:pPr>
      <w:rPr>
        <w:rFonts w:ascii="Courier New" w:hAnsi="Courier New"/>
      </w:rPr>
    </w:lvl>
    <w:lvl w:ilvl="5" w:tplc="630FA646">
      <w:start w:val="1"/>
      <w:numFmt w:val="bullet"/>
      <w:suff w:val="tab"/>
      <w:lvlText w:val=""/>
      <w:lvlJc w:val="left"/>
      <w:pPr>
        <w:ind w:hanging="360" w:left="4320"/>
        <w:tabs>
          <w:tab w:val="left" w:pos="4320" w:leader="none"/>
        </w:tabs>
      </w:pPr>
      <w:rPr>
        <w:rFonts w:ascii="Wingdings" w:hAnsi="Wingdings"/>
      </w:rPr>
    </w:lvl>
    <w:lvl w:ilvl="6" w:tplc="2180847D">
      <w:start w:val="1"/>
      <w:numFmt w:val="bullet"/>
      <w:suff w:val="tab"/>
      <w:lvlText w:val=""/>
      <w:lvlJc w:val="left"/>
      <w:pPr>
        <w:ind w:hanging="360" w:left="5040"/>
        <w:tabs>
          <w:tab w:val="left" w:pos="5040" w:leader="none"/>
        </w:tabs>
      </w:pPr>
      <w:rPr>
        <w:rFonts w:ascii="Symbol" w:hAnsi="Symbol"/>
      </w:rPr>
    </w:lvl>
    <w:lvl w:ilvl="7" w:tplc="4124384C">
      <w:start w:val="1"/>
      <w:numFmt w:val="bullet"/>
      <w:suff w:val="tab"/>
      <w:lvlText w:val="o"/>
      <w:lvlJc w:val="left"/>
      <w:pPr>
        <w:ind w:hanging="360" w:left="5760"/>
        <w:tabs>
          <w:tab w:val="left" w:pos="5760" w:leader="none"/>
        </w:tabs>
      </w:pPr>
      <w:rPr>
        <w:rFonts w:ascii="Courier New" w:hAnsi="Courier New"/>
      </w:rPr>
    </w:lvl>
    <w:lvl w:ilvl="8" w:tplc="2A8AA76D">
      <w:start w:val="1"/>
      <w:numFmt w:val="bullet"/>
      <w:suff w:val="tab"/>
      <w:lvlText w:val=""/>
      <w:lvlJc w:val="left"/>
      <w:pPr>
        <w:ind w:hanging="360" w:left="6480"/>
        <w:tabs>
          <w:tab w:val="left" w:pos="6480" w:leader="none"/>
        </w:tabs>
      </w:pPr>
      <w:rPr>
        <w:rFonts w:ascii="Wingdings" w:hAnsi="Wingdings"/>
      </w:rPr>
    </w:lvl>
  </w:abstractNum>
  <w:num w:numId="1">
    <w:abstractNumId w:val="1"/>
  </w:num>
  <w:num w:numId="2">
    <w:abstractNumId w:val="10"/>
  </w:num>
  <w:num w:numId="3">
    <w:abstractNumId w:val="7"/>
  </w:num>
  <w:num w:numId="4">
    <w:abstractNumId w:val="3"/>
  </w:num>
  <w:num w:numId="5">
    <w:abstractNumId w:val="4"/>
  </w:num>
  <w:num w:numId="6">
    <w:abstractNumId w:val="6"/>
  </w:num>
  <w:num w:numId="7">
    <w:abstractNumId w:val="2"/>
  </w:num>
  <w:num w:numId="8">
    <w:abstractNumId w:val="0"/>
  </w:num>
  <w:num w:numId="9">
    <w:abstractNumId w:val="9"/>
  </w:num>
  <w:num w:numId="10">
    <w:abstractNumId w:val="8"/>
  </w:num>
  <w:num w:numId="11">
    <w:abstractNumId w:val="5"/>
  </w:num>
  <w:num w:numId="12">
    <w:abstractNumId w:val="1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outlineLvl w:val="0"/>
    </w:pPr>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sz w:val="144"/>
    </w:rPr>
  </w:style>
  <w:style w:type="paragraph" w:styleId="P5">
    <w:name w:val="Título 4"/>
    <w:basedOn w:val="P0"/>
    <w:next w:val="P0"/>
    <w:qFormat/>
    <w:pPr>
      <w:keepNext w:val="1"/>
      <w:widowControl w:val="0"/>
      <w:jc w:val="both"/>
      <w:outlineLvl w:val="3"/>
    </w:pPr>
    <w:rPr>
      <w:rFonts w:ascii="Courier New" w:hAnsi="Courier New"/>
      <w:b w:val="1"/>
      <w:u w:val="single"/>
    </w:rPr>
  </w:style>
  <w:style w:type="paragraph" w:styleId="P6">
    <w:name w:val="Título 5"/>
    <w:basedOn w:val="P0"/>
    <w:next w:val="P0"/>
    <w:qFormat/>
    <w:pPr>
      <w:keepNext w:val="1"/>
      <w:widowControl w:val="0"/>
      <w:jc w:val="both"/>
      <w:outlineLvl w:val="4"/>
    </w:pPr>
    <w:rPr>
      <w:rFonts w:ascii="Courier New" w:hAnsi="Courier New"/>
      <w:b w:val="1"/>
    </w:rPr>
  </w:style>
  <w:style w:type="paragraph" w:styleId="P7">
    <w:name w:val="Título 6"/>
    <w:basedOn w:val="P0"/>
    <w:next w:val="P0"/>
    <w:qFormat/>
    <w:pPr>
      <w:keepNext w:val="1"/>
      <w:jc w:val="center"/>
      <w:outlineLvl w:val="5"/>
    </w:pPr>
    <w:rPr>
      <w:rFonts w:ascii="Courier New" w:hAnsi="Courier New"/>
      <w:b w:val="1"/>
      <w:u w:val="single"/>
    </w:rPr>
  </w:style>
  <w:style w:type="paragraph" w:styleId="P8">
    <w:name w:val="Título 7"/>
    <w:basedOn w:val="P0"/>
    <w:next w:val="P0"/>
    <w:qFormat/>
    <w:pPr>
      <w:keepNext w:val="1"/>
      <w:ind w:firstLine="709"/>
      <w:jc w:val="both"/>
      <w:outlineLvl w:val="6"/>
    </w:pPr>
    <w:rPr>
      <w:rFonts w:ascii="Courier New" w:hAnsi="Courier New"/>
    </w:rPr>
  </w:style>
  <w:style w:type="paragraph" w:styleId="P9">
    <w:name w:val="Título 8"/>
    <w:basedOn w:val="P0"/>
    <w:next w:val="P0"/>
    <w:qFormat/>
    <w:pPr>
      <w:keepNext w:val="1"/>
      <w:ind w:left="360"/>
      <w:jc w:val="center"/>
      <w:outlineLvl w:val="7"/>
    </w:pPr>
    <w:rPr>
      <w:rFonts w:ascii="Courier New" w:hAnsi="Courier New"/>
      <w:b w:val="1"/>
      <w:u w:val="single"/>
    </w:rPr>
  </w:style>
  <w:style w:type="paragraph" w:styleId="P10">
    <w:name w:val="Remite de sobre"/>
    <w:basedOn w:val="P0"/>
    <w:next w:val="P10"/>
    <w:pPr/>
    <w:rPr>
      <w:rFonts w:ascii="Benguiat Bk BT" w:hAnsi="Benguiat Bk BT"/>
      <w:b w:val="1"/>
      <w:i w:val="1"/>
      <w:u w:val="single"/>
    </w:rPr>
  </w:style>
  <w:style w:type="paragraph" w:styleId="P11">
    <w:name w:val="Texto sin formato"/>
    <w:basedOn w:val="P0"/>
    <w:next w:val="P11"/>
    <w:pPr/>
    <w:rPr>
      <w:rFonts w:ascii="Courier New" w:hAnsi="Courier New"/>
      <w:sz w:val="20"/>
    </w:rPr>
  </w:style>
  <w:style w:type="paragraph" w:styleId="P12">
    <w:name w:val="Texto independiente"/>
    <w:basedOn w:val="P0"/>
    <w:next w:val="P12"/>
    <w:pPr>
      <w:jc w:val="both"/>
    </w:pPr>
    <w:rPr>
      <w:rFonts w:ascii="Courier New" w:hAnsi="Courier New"/>
    </w:rPr>
  </w:style>
  <w:style w:type="paragraph" w:styleId="P13">
    <w:name w:val="Título"/>
    <w:basedOn w:val="P0"/>
    <w:next w:val="P13"/>
    <w:qFormat/>
    <w:pPr>
      <w:jc w:val="center"/>
    </w:pPr>
    <w:rPr>
      <w:rFonts w:ascii="Courier New" w:hAnsi="Courier New"/>
      <w:b w:val="1"/>
    </w:rPr>
  </w:style>
  <w:style w:type="paragraph" w:styleId="P14">
    <w:name w:val="Texto independiente 3"/>
    <w:basedOn w:val="P0"/>
    <w:next w:val="P14"/>
    <w:pPr>
      <w:jc w:val="both"/>
    </w:pPr>
    <w:rPr>
      <w:rFonts w:ascii="Courier New" w:hAnsi="Courier New"/>
      <w:b w:val="1"/>
    </w:rPr>
  </w:style>
  <w:style w:type="paragraph" w:styleId="P15">
    <w:name w:val="Texto independiente 2"/>
    <w:basedOn w:val="P0"/>
    <w:next w:val="P15"/>
    <w:pPr>
      <w:jc w:val="both"/>
    </w:pPr>
    <w:rPr>
      <w:sz w:val="28"/>
    </w:rPr>
  </w:style>
  <w:style w:type="paragraph" w:styleId="P16">
    <w:name w:val="Texto de globo"/>
    <w:basedOn w:val="P0"/>
    <w:next w:val="P16"/>
    <w:pPr/>
    <w:rPr>
      <w:rFonts w:ascii="Tahoma" w:hAnsi="Tahoma"/>
      <w:sz w:val="16"/>
    </w:rPr>
  </w:style>
  <w:style w:type="paragraph" w:styleId="P17">
    <w:name w:val="Sangría de texto normal"/>
    <w:basedOn w:val="P0"/>
    <w:next w:val="P17"/>
    <w:pPr>
      <w:ind w:left="561"/>
      <w:jc w:val="both"/>
    </w:pPr>
    <w:rPr>
      <w:rFonts w:ascii="Courier New" w:hAnsi="Courier New"/>
    </w:rPr>
  </w:style>
  <w:style w:type="paragraph" w:styleId="P18">
    <w:name w:val="Sangría 2 de t. independiente"/>
    <w:basedOn w:val="P0"/>
    <w:next w:val="P18"/>
    <w:pPr>
      <w:ind w:left="748"/>
      <w:jc w:val="both"/>
    </w:pPr>
    <w:rPr>
      <w:rFonts w:ascii="Courier New" w:hAnsi="Courier New"/>
    </w:rPr>
  </w:style>
  <w:style w:type="paragraph" w:styleId="P19">
    <w:name w:val="Sangría 3 de t. independiente"/>
    <w:basedOn w:val="P0"/>
    <w:next w:val="P19"/>
    <w:pPr>
      <w:ind w:left="748"/>
      <w:jc w:val="both"/>
    </w:pPr>
    <w:rPr>
      <w:rFonts w:ascii="Courier New" w:hAnsi="Courier New"/>
      <w:b w:val="1"/>
    </w:rPr>
  </w:style>
  <w:style w:type="paragraph" w:styleId="P20">
    <w:name w:val="Texto independiente 21"/>
    <w:basedOn w:val="P0"/>
    <w:next w:val="P20"/>
    <w:pPr>
      <w:jc w:val="center"/>
    </w:pPr>
    <w:rPr/>
  </w:style>
  <w:style w:type="paragraph" w:styleId="P21">
    <w:name w:val="Body Text 21"/>
    <w:basedOn w:val="P0"/>
    <w:next w:val="P21"/>
    <w:pPr>
      <w:jc w:val="center"/>
    </w:pPr>
    <w:rPr/>
  </w:style>
  <w:style w:type="paragraph" w:styleId="P22">
    <w:name w:val="Texto nota pie"/>
    <w:basedOn w:val="P0"/>
    <w:next w:val="P22"/>
    <w:link w:val="C4"/>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nota pie Car"/>
    <w:link w:val="P22"/>
    <w:rPr>
      <w:sz w:val="20"/>
    </w:rPr>
  </w:style>
  <w:style w:type="character" w:styleId="C5">
    <w:name w:val="Ref. de nota al pie"/>
    <w:rPr>
      <w:vertAlign w:val="superscript"/>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2009-01-04T21:34:00Z</dcterms:created>
  <cp:lastModifiedBy>Ethan Puglia</cp:lastModifiedBy>
  <cp:lastPrinted>2009-01-04T23:09:00Z</cp:lastPrinted>
  <dcterms:modified xsi:type="dcterms:W3CDTF">2019-03-28T17:34:11Z</dcterms:modified>
  <cp:revision>14</cp:revision>
  <dc:title>PROYECTO DE ORDENANZA</dc:title>
</cp:coreProperties>
</file>