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5CB409" Type="http://schemas.openxmlformats.org/officeDocument/2006/relationships/officeDocument" Target="/word/document.xml" /><Relationship Id="coreR325CB4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 N° 8357</w:t>
      </w:r>
    </w:p>
    <w:p>
      <w:pPr>
        <w:rPr>
          <w:rStyle w:val="C3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0"/>
        <w:ind w:hanging="720" w:left="720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Visto: </w:t>
      </w:r>
      <w:r>
        <w:rPr>
          <w:rStyle w:val="C3"/>
          <w:b w:val="0"/>
          <w:u w:val="none"/>
        </w:rPr>
        <w:t>El Exp</w:t>
      </w:r>
      <w:r>
        <w:rPr>
          <w:rStyle w:val="C3"/>
          <w:b w:val="0"/>
          <w:u w:val="none"/>
        </w:rPr>
        <w:t>edien</w:t>
      </w:r>
      <w:r>
        <w:rPr>
          <w:rStyle w:val="C3"/>
          <w:b w:val="0"/>
          <w:u w:val="none"/>
        </w:rPr>
        <w:t>te</w:t>
      </w:r>
      <w:r>
        <w:rPr>
          <w:rStyle w:val="C3"/>
          <w:b w:val="0"/>
          <w:u w:val="none"/>
        </w:rPr>
        <w:t xml:space="preserve"> </w:t>
      </w:r>
      <w:r>
        <w:rPr>
          <w:rStyle w:val="C3"/>
          <w:b w:val="0"/>
          <w:u w:val="none"/>
        </w:rPr>
        <w:t>Nº</w:t>
      </w:r>
      <w:r>
        <w:rPr>
          <w:rStyle w:val="C3"/>
          <w:b w:val="0"/>
          <w:u w:val="none"/>
        </w:rPr>
        <w:t xml:space="preserve"> </w:t>
      </w:r>
      <w:r>
        <w:rPr>
          <w:rStyle w:val="C3"/>
          <w:b w:val="0"/>
          <w:u w:val="none"/>
        </w:rPr>
        <w:t>1147/08, iniciado por Pintos,</w:t>
      </w:r>
      <w:r>
        <w:rPr>
          <w:rStyle w:val="C3"/>
          <w:b w:val="0"/>
          <w:u w:val="none"/>
        </w:rPr>
        <w:t xml:space="preserve"> </w:t>
      </w:r>
      <w:r>
        <w:rPr>
          <w:rStyle w:val="C3"/>
          <w:b w:val="0"/>
          <w:u w:val="none"/>
        </w:rPr>
        <w:t>Omar</w:t>
      </w:r>
      <w:r>
        <w:rPr>
          <w:rStyle w:val="C3"/>
          <w:b w:val="0"/>
          <w:u w:val="none"/>
        </w:rPr>
        <w:t>; y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  <w:sz w:val="24"/>
        </w:rPr>
      </w:pPr>
    </w:p>
    <w:p>
      <w:pPr>
        <w:ind w:left="54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en el mismo se solicita la autorización para mantener la construcción de un Complejo de Departamentos en el inmueble Designación Catastral 1-1-150-9, ubicado en calle Roque Celentano N° 361 de Barrio Carlos Pellegrini de nuestra Ciudad sin el cumplimiento del Art. 239 de la Ordenanza N°1294, ya que posee orden de demolición de lo construido del Juzgado Administrativo de Faltas;  </w:t>
      </w:r>
    </w:p>
    <w:p>
      <w:pPr>
        <w:ind w:left="54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 </w:t>
      </w:r>
    </w:p>
    <w:p>
      <w:pPr>
        <w:pStyle w:val="P7"/>
        <w:ind w:left="540"/>
      </w:pPr>
      <w:r>
        <w:t xml:space="preserve">Que el presente fuera tratado por este Cuerpo Legislativo, solicitando los informes correspondientes a las distintas Áreas Técnicas intervinientes del Departamento Ejecutivo;    </w:t>
      </w:r>
    </w:p>
    <w:p>
      <w:pPr>
        <w:pStyle w:val="P7"/>
        <w:ind w:left="540"/>
      </w:pPr>
    </w:p>
    <w:p>
      <w:pPr>
        <w:ind w:left="54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a Fs. 15, el Área de Obras Privadas informa que el interesado ha presentado la documentación en Expediente N° 808/08 con plano de relevamiento visado por el Colegio de Arquitectos de la Provincia de Córdoba, y abonado la sobretasa del 40% (CUARENTA POR CIENTO) por estar fuera de Ordenanza. Hecho  reclamado en Acta de Constatación N° 130/08 de Control Urbano;  </w:t>
      </w:r>
    </w:p>
    <w:p>
      <w:pPr>
        <w:ind w:left="540"/>
        <w:jc w:val="both"/>
        <w:rPr>
          <w:rStyle w:val="C3"/>
          <w:rFonts w:ascii="Courier New" w:hAnsi="Courier New"/>
          <w:sz w:val="24"/>
        </w:rPr>
      </w:pPr>
    </w:p>
    <w:p>
      <w:pPr>
        <w:ind w:left="54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sz w:val="24"/>
        </w:rPr>
        <w:t>Que el Área de Planeamiento a Fs. 15 Vta. informa que el no haber respetado el retiro establecido por el Art. 239 de la Ordenanza N° 1294 (2,50 m), no afecta la tipología barrial, ya que existe un retiro pero menor al establecido (1,50 m);</w:t>
      </w:r>
      <w:r>
        <w:rPr>
          <w:rStyle w:val="C3"/>
          <w:rFonts w:ascii="Courier New" w:hAnsi="Courier New"/>
        </w:rPr>
        <w:t xml:space="preserve"> </w:t>
      </w:r>
    </w:p>
    <w:p>
      <w:pPr>
        <w:ind w:left="540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la Secretaría de Turismo informa que debería encuadrarse en la Ordenanza N° 7098 de “Casas y Departamentos de Alquiler temporario” para poder ser habilitado y posterior funcionamiento;</w:t>
      </w:r>
    </w:p>
    <w:p>
      <w:pPr>
        <w:ind w:left="561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561"/>
        <w:jc w:val="both"/>
        <w:rPr>
          <w:rStyle w:val="C3"/>
          <w:rFonts w:ascii="Courier New" w:hAnsi="Courier New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analizado el Expediente de referencia por la Comisión de Legislación General, la misma emite despacho favorable, aprobado por unanimidad en Sesión Ordinaria del día 03 de Abril de 2009.-</w:t>
      </w:r>
    </w:p>
    <w:p>
      <w:pPr>
        <w:rPr>
          <w:rStyle w:val="C3"/>
          <w:sz w:val="24"/>
        </w:rPr>
      </w:pPr>
    </w:p>
    <w:p>
      <w:pPr>
        <w:rPr>
          <w:rStyle w:val="C3"/>
          <w:sz w:val="24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7"/>
        <w:jc w:val="center"/>
        <w:rPr>
          <w:rStyle w:val="C3"/>
          <w:b w:val="1"/>
        </w:rPr>
      </w:pPr>
    </w:p>
    <w:p>
      <w:pPr>
        <w:ind w:hanging="561" w:left="126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AUTOR</w:t>
      </w:r>
      <w:r>
        <w:rPr>
          <w:rStyle w:val="C3"/>
          <w:rFonts w:ascii="Courier New" w:hAnsi="Courier New"/>
          <w:b w:val="1"/>
          <w:sz w:val="24"/>
        </w:rPr>
        <w:t>ÍZ</w:t>
      </w:r>
      <w:r>
        <w:rPr>
          <w:rStyle w:val="C3"/>
          <w:rFonts w:ascii="Courier New" w:hAnsi="Courier New"/>
          <w:b w:val="1"/>
          <w:sz w:val="24"/>
        </w:rPr>
        <w:t>ASE</w:t>
      </w:r>
      <w:r>
        <w:rPr>
          <w:rStyle w:val="C3"/>
          <w:rFonts w:ascii="Courier New" w:hAnsi="Courier New"/>
          <w:sz w:val="24"/>
        </w:rPr>
        <w:t xml:space="preserve"> la construcción de un Complejo de Departamentos en el inmueble Designación Catastral 1-1-150-9, ubicado en calle Roque Celentano N° 361 de Barrio Carlos Pellegrini de nuestra Ciudad, sin el cumplimiento del Art. 239 de la Ordenanza N° 1294 (Código de Edificación y Urbanización de Alta Gracia).-</w:t>
      </w: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PROTOCOLÍCESE</w:t>
      </w:r>
      <w:r>
        <w:rPr>
          <w:rStyle w:val="C3"/>
          <w:rFonts w:ascii="Courier New" w:hAnsi="Courier New"/>
          <w:sz w:val="24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                                                                                            </w:t>
      </w:r>
    </w:p>
    <w:p>
      <w:pPr>
        <w:pStyle w:val="P9"/>
        <w:ind w:left="0"/>
      </w:pPr>
      <w:r>
        <w:t>DADA EN LA SALA DE SESIONES DEL HONORABLE CONCEJO DELIBERANTE A LOS TRES DIAS DEL MES DE ABRIL DEL AÑO DOS MIL NUEVE.-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spacing w:lineRule="exact" w:line="340"/>
        <w:ind w:hanging="993" w:left="993"/>
        <w:jc w:val="both"/>
        <w:rPr>
          <w:rStyle w:val="C3"/>
          <w:sz w:val="24"/>
        </w:rPr>
      </w:pPr>
    </w:p>
    <w:sectPr>
      <w:type w:val="nextPage"/>
      <w:pgSz w:w="11906" w:h="16838" w:code="0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7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0">
    <w:nsid w:val="4C661CEC"/>
    <w:multiLevelType w:val="hybridMultilevel"/>
    <w:lvl w:ilvl="0" w:tplc="3B01D9AA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6B01272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9BBBAE2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2FDE1573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5E1270A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C81455A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0BDB519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A013338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E1D9F9D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1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5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5B49598D"/>
    <w:multiLevelType w:val="hybridMultilevel"/>
    <w:lvl w:ilvl="0" w:tplc="175C0355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1D099300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3CF3A3B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E34F363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9A10017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0F00022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58BD706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57A6140B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665E8F7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8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3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16"/>
  </w:num>
  <w:num w:numId="2">
    <w:abstractNumId w:val="21"/>
  </w:num>
  <w:num w:numId="3">
    <w:abstractNumId w:val="15"/>
  </w:num>
  <w:num w:numId="4">
    <w:abstractNumId w:val="2"/>
  </w:num>
  <w:num w:numId="5">
    <w:abstractNumId w:val="13"/>
  </w:num>
  <w:num w:numId="6">
    <w:abstractNumId w:val="12"/>
  </w:num>
  <w:num w:numId="7">
    <w:abstractNumId w:val="4"/>
  </w:num>
  <w:num w:numId="8">
    <w:abstractNumId w:val="19"/>
  </w:num>
  <w:num w:numId="9">
    <w:abstractNumId w:val="11"/>
  </w:num>
  <w:num w:numId="10">
    <w:abstractNumId w:val="10"/>
  </w:num>
  <w:num w:numId="11">
    <w:abstractNumId w:val="8"/>
  </w:num>
  <w:num w:numId="12">
    <w:abstractNumId w:val="17"/>
  </w:num>
  <w:num w:numId="13">
    <w:abstractNumId w:val="14"/>
  </w:num>
  <w:num w:numId="14">
    <w:abstractNumId w:val="3"/>
  </w:num>
  <w:num w:numId="15">
    <w:abstractNumId w:val="20"/>
  </w:num>
  <w:num w:numId="16">
    <w:abstractNumId w:val="6"/>
  </w:num>
  <w:num w:numId="17">
    <w:abstractNumId w:val="7"/>
  </w:num>
  <w:num w:numId="18">
    <w:abstractNumId w:val="1"/>
  </w:num>
  <w:num w:numId="19">
    <w:abstractNumId w:val="18"/>
  </w:num>
  <w:num w:numId="20">
    <w:abstractNumId w:val="22"/>
  </w:num>
  <w:num w:numId="21">
    <w:abstractNumId w:val="0"/>
  </w:num>
  <w:num w:numId="22">
    <w:abstractNumId w:val="9"/>
  </w:num>
  <w:num w:numId="23">
    <w:abstractNumId w:val="23"/>
  </w:num>
  <w:num w:numId="24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rFonts w:ascii="Arial" w:hAnsi="Arial"/>
      <w:sz w:val="22"/>
    </w:rPr>
  </w:style>
  <w:style w:type="paragraph" w:styleId="P1">
    <w:name w:val="Título 1"/>
    <w:basedOn w:val="P0"/>
    <w:next w:val="P0"/>
    <w:pPr>
      <w:keepNext w:val="1"/>
      <w:outlineLvl w:val="0"/>
    </w:pPr>
    <w:rPr>
      <w:rFonts w:ascii="Times New Roman" w:hAnsi="Times New Roman"/>
      <w:sz w:val="24"/>
    </w:rPr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rFonts w:ascii="Times New Roman" w:hAnsi="Times New Roman"/>
      <w:b w:val="1"/>
      <w:sz w:val="24"/>
    </w:rPr>
  </w:style>
  <w:style w:type="paragraph" w:styleId="P3">
    <w:name w:val="Título 3"/>
    <w:basedOn w:val="P0"/>
    <w:next w:val="P0"/>
    <w:pPr>
      <w:keepNext w:val="1"/>
      <w:outlineLvl w:val="2"/>
    </w:pPr>
    <w:rPr>
      <w:rFonts w:ascii="Courier New" w:hAnsi="Courier New"/>
      <w:b w:val="1"/>
      <w:sz w:val="20"/>
    </w:rPr>
  </w:style>
  <w:style w:type="paragraph" w:styleId="P4">
    <w:name w:val="Título 4"/>
    <w:basedOn w:val="P0"/>
    <w:next w:val="P0"/>
    <w:pPr>
      <w:keepNext w:val="1"/>
      <w:ind w:firstLine="720"/>
      <w:jc w:val="center"/>
      <w:outlineLvl w:val="3"/>
    </w:pPr>
    <w:rPr>
      <w:rFonts w:ascii="Courier New" w:hAnsi="Courier New"/>
      <w:b w:val="1"/>
      <w:sz w:val="24"/>
    </w:rPr>
  </w:style>
  <w:style w:type="paragraph" w:styleId="P5">
    <w:name w:val="Título 6"/>
    <w:basedOn w:val="P0"/>
    <w:next w:val="P0"/>
    <w:pPr>
      <w:keepNext w:val="1"/>
      <w:ind w:firstLine="720"/>
      <w:jc w:val="both"/>
      <w:outlineLvl w:val="5"/>
    </w:pPr>
    <w:rPr>
      <w:rFonts w:ascii="Courier New" w:hAnsi="Courier New"/>
      <w:sz w:val="24"/>
    </w:rPr>
  </w:style>
  <w:style w:type="paragraph" w:styleId="P6">
    <w:name w:val="Texto independiente 2"/>
    <w:basedOn w:val="P0"/>
    <w:next w:val="P6"/>
    <w:pPr/>
    <w:rPr>
      <w:b w:val="1"/>
      <w:sz w:val="28"/>
    </w:rPr>
  </w:style>
  <w:style w:type="paragraph" w:styleId="P7">
    <w:name w:val="Texto independiente"/>
    <w:basedOn w:val="P0"/>
    <w:next w:val="P7"/>
    <w:pPr>
      <w:jc w:val="both"/>
    </w:pPr>
    <w:rPr>
      <w:rFonts w:ascii="Courier New" w:hAnsi="Courier New"/>
      <w:sz w:val="24"/>
    </w:rPr>
  </w:style>
  <w:style w:type="paragraph" w:styleId="P8">
    <w:name w:val="Sangría de t. independiente"/>
    <w:basedOn w:val="P0"/>
    <w:next w:val="P8"/>
    <w:pPr>
      <w:ind w:left="561"/>
      <w:jc w:val="both"/>
    </w:pPr>
    <w:rPr>
      <w:rFonts w:ascii="Courier New" w:hAnsi="Courier New"/>
      <w:sz w:val="24"/>
    </w:rPr>
  </w:style>
  <w:style w:type="paragraph" w:styleId="P9">
    <w:name w:val="Sangría 3 de t. independiente"/>
    <w:basedOn w:val="P0"/>
    <w:next w:val="P9"/>
    <w:pPr>
      <w:ind w:left="748"/>
      <w:jc w:val="both"/>
    </w:pPr>
    <w:rPr>
      <w:rFonts w:ascii="Courier New" w:hAnsi="Courier New"/>
      <w:b w:val="1"/>
      <w:sz w:val="24"/>
    </w:rPr>
  </w:style>
  <w:style w:type="paragraph" w:styleId="P10">
    <w:name w:val="Título"/>
    <w:basedOn w:val="P0"/>
    <w:next w:val="P10"/>
    <w:pPr>
      <w:jc w:val="center"/>
    </w:pPr>
    <w:rPr>
      <w:rFonts w:ascii="Courier New" w:hAnsi="Courier New"/>
      <w:b w:val="1"/>
      <w:sz w:val="24"/>
      <w:u w:val="single"/>
    </w:rPr>
  </w:style>
  <w:style w:type="paragraph" w:styleId="P11">
    <w:name w:val="Sangría 2 de t. independiente"/>
    <w:basedOn w:val="P0"/>
    <w:next w:val="P11"/>
    <w:pPr>
      <w:ind w:left="720"/>
      <w:jc w:val="both"/>
    </w:pPr>
    <w:rPr>
      <w:rFonts w:ascii="Courier New" w:hAnsi="Courier New"/>
      <w:b w:val="1"/>
      <w:sz w:val="24"/>
    </w:rPr>
  </w:style>
  <w:style w:type="paragraph" w:styleId="P12">
    <w:name w:val="Texto sin formato"/>
    <w:basedOn w:val="P0"/>
    <w:next w:val="P12"/>
    <w:pPr/>
    <w:rPr>
      <w:rFonts w:ascii="Courier New" w:hAnsi="Courier New"/>
      <w:sz w:val="20"/>
    </w:rPr>
  </w:style>
  <w:style w:type="paragraph" w:styleId="P13">
    <w:name w:val="Normal (Web)"/>
    <w:basedOn w:val="P0"/>
    <w:next w:val="P13"/>
    <w:pPr>
      <w:spacing w:before="100" w:after="100"/>
    </w:pPr>
    <w:rPr>
      <w:rFonts w:ascii="Times New Roman" w:hAnsi="Times New Roman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independiente 2 Car"/>
    <w:basedOn w:val="C3"/>
    <w:rPr>
      <w:rFonts w:ascii="Arial" w:hAnsi="Arial"/>
      <w:b w:val="1"/>
      <w:sz w:val="28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ya</dc:creator>
  <dcterms:created xsi:type="dcterms:W3CDTF">2009-04-07T00:20:00Z</dcterms:created>
  <cp:lastModifiedBy>Ethan Puglia</cp:lastModifiedBy>
  <cp:lastPrinted>2009-03-21T02:14:00Z</cp:lastPrinted>
  <dcterms:modified xsi:type="dcterms:W3CDTF">2019-03-28T17:34:11Z</dcterms:modified>
  <cp:revision>8</cp:revision>
  <dc:title>ORDENANZA  N° 8353</dc:title>
</cp:coreProperties>
</file>