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F198CCD" Type="http://schemas.openxmlformats.org/officeDocument/2006/relationships/officeDocument" Target="/word/document.xml" /><Relationship Id="coreR5F198CC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both"/>
        <w:rPr>
          <w:rStyle w:val="C3"/>
          <w:rFonts w:ascii="Courier New" w:hAnsi="Courier New"/>
        </w:rPr>
      </w:pPr>
    </w:p>
    <w:p>
      <w:pPr>
        <w:pStyle w:val="P1"/>
        <w:rPr>
          <w:rStyle w:val="C3"/>
          <w:u w:val="single"/>
        </w:rPr>
      </w:pPr>
    </w:p>
    <w:p>
      <w:pPr>
        <w:pStyle w:val="P1"/>
        <w:rPr>
          <w:rStyle w:val="C3"/>
          <w:u w:val="single"/>
        </w:rPr>
      </w:pPr>
    </w:p>
    <w:p>
      <w:pPr>
        <w:pStyle w:val="P1"/>
        <w:rPr>
          <w:rStyle w:val="C3"/>
          <w:u w:val="single"/>
        </w:rPr>
      </w:pPr>
    </w:p>
    <w:p>
      <w:pPr>
        <w:pStyle w:val="P1"/>
        <w:rPr>
          <w:rStyle w:val="C3"/>
          <w:u w:val="single"/>
        </w:rPr>
      </w:pPr>
      <w:r>
        <w:rPr>
          <w:rStyle w:val="C3"/>
          <w:u w:val="single"/>
        </w:rPr>
        <w:t xml:space="preserve">ORDENANZA  N° 8364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3"/>
        <w:ind w:hanging="748" w:left="748"/>
      </w:pPr>
      <w:r>
        <w:t xml:space="preserve">Visto: La Ordenanza Tarifaria del Año 2009 N° 8301;  y 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"/>
      </w:pPr>
      <w:r>
        <w:t>C O N S I D E R A N D O</w:t>
      </w:r>
    </w:p>
    <w:p/>
    <w:p>
      <w:pPr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su Capítulo VII, Art.24° “ESTUDIO DE PLANOS”, se fijan los aranceles correspondientes para cada caso en particular;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el inc.4 a) se volvió al valor del 24‰ para obras encuadradas en las Ordenanzas vigentes en la materia, ya que desde 1999 se había reducido al 12‰.-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agregó el inc.4 B), que establece un arancel del 50‰ a partir del 01 de Julio de 2009 para toda obra ejecutada, se encuadre o no en las Ordenanzas vigentes en la materia;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conversaciones mantenidas con la Secretaría de Obras y Servicios Públicos, se acordó la prórroga en el plazo establecido por el inc.4 b) y la disminución al 12‰ del inc.4 a), a los fines de poder realizar una campaña publicitaria y permitir a todos los propietarios y profesionales que se encuentren en cada una de las situaciones mencionadas, regularizar las mismas;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situación de crisis por la que estamos atravesando los Argentinos a la que no somos ajenos los vecinos de Alta Gracia, amerita tener este tipo de consideraciones que permitan al conjunto de la sociedad cumplir con sus obligaciones dentro de sus posibilidades;    </w:t>
      </w: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ind w:left="72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Proyecto de Ordenanza por la Comisión de Obras y Servicios Públicos, la misma emite despacho favorable, aprobado por unanimidad en Sesión Ordinaria del día 22 de Abril de 2009.-</w:t>
      </w:r>
    </w:p>
    <w:p>
      <w:pPr>
        <w:pStyle w:val="P2"/>
        <w:jc w:val="right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2"/>
        <w:rPr>
          <w:rStyle w:val="C3"/>
          <w:rFonts w:ascii="Courier New" w:hAnsi="Courier New"/>
        </w:rPr>
      </w:pPr>
    </w:p>
    <w:p>
      <w:pPr>
        <w:pStyle w:val="P2"/>
        <w:jc w:val="left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...///2.-</w:t>
      </w:r>
    </w:p>
    <w:p>
      <w:pPr>
        <w:pStyle w:val="P2"/>
        <w:rPr>
          <w:rStyle w:val="C3"/>
          <w:rFonts w:ascii="Courier New" w:hAnsi="Courier New"/>
        </w:rPr>
      </w:pPr>
    </w:p>
    <w:p>
      <w:pPr>
        <w:pStyle w:val="P2"/>
        <w:rPr>
          <w:rStyle w:val="C3"/>
          <w:rFonts w:ascii="Courier New" w:hAnsi="Courier New"/>
        </w:rPr>
      </w:pPr>
    </w:p>
    <w:p>
      <w:pPr>
        <w:pStyle w:val="P2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pStyle w:val="P3"/>
        <w:jc w:val="center"/>
        <w:rPr>
          <w:rStyle w:val="C3"/>
          <w:b w:val="1"/>
        </w:rPr>
      </w:pPr>
    </w:p>
    <w:p>
      <w:pPr>
        <w:ind w:hanging="561" w:left="1269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ALTA GRACIA SANCIONA CON FUERZA DE ORDENANZA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u w:val="single"/>
        </w:rPr>
      </w:pPr>
    </w:p>
    <w:p>
      <w:pPr>
        <w:ind w:left="748"/>
        <w:jc w:val="both"/>
        <w:rPr>
          <w:rStyle w:val="C3"/>
          <w:rFonts w:ascii="Courier New" w:hAnsi="Courier New"/>
        </w:rPr>
      </w:pPr>
    </w:p>
    <w:p>
      <w:pPr>
        <w:pStyle w:val="P4"/>
        <w:ind w:left="0"/>
        <w:rPr>
          <w:rStyle w:val="C3"/>
        </w:rPr>
      </w:pPr>
    </w:p>
    <w:p>
      <w:pPr>
        <w:pStyle w:val="P7"/>
        <w:tabs>
          <w:tab w:val="clear" w:pos="4252" w:leader="none"/>
          <w:tab w:val="clear" w:pos="8504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MOD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>FÍCASE</w:t>
      </w:r>
      <w:r>
        <w:rPr>
          <w:rStyle w:val="C3"/>
          <w:rFonts w:ascii="Courier New" w:hAnsi="Courier New"/>
        </w:rPr>
        <w:t xml:space="preserve"> el Capítulo VII de la Ordenanza Tarifaria vigente, año 2009, N° 8301, que quedará redactado de la siguiente manera:</w:t>
      </w:r>
    </w:p>
    <w:p>
      <w:pPr>
        <w:pStyle w:val="P7"/>
        <w:tabs>
          <w:tab w:val="clear" w:pos="4252" w:leader="none"/>
          <w:tab w:val="clear" w:pos="8504" w:leader="none"/>
        </w:tabs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7"/>
        <w:tabs>
          <w:tab w:val="clear" w:pos="4252" w:leader="none"/>
          <w:tab w:val="clear" w:pos="8504" w:leader="none"/>
        </w:tabs>
        <w:jc w:val="center"/>
        <w:outlineLvl w:val="0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>CAPITULO VII</w:t>
      </w:r>
    </w:p>
    <w:p>
      <w:pPr>
        <w:pStyle w:val="P7"/>
        <w:tabs>
          <w:tab w:val="clear" w:pos="4252" w:leader="none"/>
          <w:tab w:val="clear" w:pos="8504" w:leader="none"/>
        </w:tabs>
        <w:jc w:val="both"/>
        <w:rPr>
          <w:rStyle w:val="C3"/>
          <w:rFonts w:ascii="Courier New" w:hAnsi="Courier New"/>
          <w:b w:val="1"/>
        </w:rPr>
      </w:pPr>
    </w:p>
    <w:p>
      <w:pPr>
        <w:pStyle w:val="P7"/>
        <w:tabs>
          <w:tab w:val="clear" w:pos="4252" w:leader="none"/>
          <w:tab w:val="clear" w:pos="8504" w:leader="none"/>
        </w:tabs>
        <w:jc w:val="center"/>
        <w:outlineLvl w:val="0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CONTRIBUCIONES QUE INCIDEN SOBRE LA CONSTRUCCION DE OBRAS</w:t>
      </w:r>
    </w:p>
    <w:p>
      <w:pPr>
        <w:pStyle w:val="P7"/>
        <w:tabs>
          <w:tab w:val="clear" w:pos="4252" w:leader="none"/>
          <w:tab w:val="clear" w:pos="8504" w:leader="none"/>
        </w:tabs>
        <w:jc w:val="both"/>
        <w:rPr>
          <w:rStyle w:val="C3"/>
          <w:rFonts w:ascii="Courier New" w:hAnsi="Courier New"/>
          <w:b w:val="1"/>
        </w:rPr>
      </w:pPr>
    </w:p>
    <w:p>
      <w:pPr>
        <w:pStyle w:val="P7"/>
        <w:tabs>
          <w:tab w:val="clear" w:pos="4252" w:leader="none"/>
          <w:tab w:val="clear" w:pos="8504" w:leader="none"/>
        </w:tabs>
        <w:jc w:val="both"/>
        <w:outlineLvl w:val="0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>Art.24</w:t>
      </w:r>
      <w:r>
        <w:rPr>
          <w:rStyle w:val="C3"/>
          <w:rFonts w:ascii="Courier New" w:hAnsi="Courier New"/>
          <w:b w:val="1"/>
        </w:rPr>
        <w:t>:</w:t>
      </w:r>
    </w:p>
    <w:p>
      <w:pPr>
        <w:pStyle w:val="P7"/>
        <w:tabs>
          <w:tab w:val="clear" w:pos="4252" w:leader="none"/>
          <w:tab w:val="clear" w:pos="8504" w:leader="none"/>
        </w:tabs>
        <w:jc w:val="both"/>
        <w:rPr>
          <w:rStyle w:val="C3"/>
          <w:rFonts w:ascii="Courier New" w:hAnsi="Courier New"/>
          <w:b w:val="1"/>
        </w:rPr>
      </w:pPr>
    </w:p>
    <w:p>
      <w:pPr>
        <w:pStyle w:val="P7"/>
        <w:tabs>
          <w:tab w:val="clear" w:pos="4252" w:leader="none"/>
          <w:tab w:val="clear" w:pos="8504" w:leader="none"/>
        </w:tabs>
        <w:ind w:left="709"/>
        <w:jc w:val="both"/>
        <w:outlineLvl w:val="0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   </w:t>
      </w:r>
      <w:r>
        <w:rPr>
          <w:rStyle w:val="C3"/>
          <w:rFonts w:ascii="Courier New" w:hAnsi="Courier New"/>
          <w:b w:val="1"/>
        </w:rPr>
        <w:t>ESTUDIO DE PLANOS</w:t>
      </w:r>
    </w:p>
    <w:p>
      <w:pPr>
        <w:pStyle w:val="P7"/>
        <w:tabs>
          <w:tab w:val="clear" w:pos="4252" w:leader="none"/>
          <w:tab w:val="clear" w:pos="8504" w:leader="none"/>
        </w:tabs>
        <w:ind w:hanging="709" w:left="709"/>
        <w:jc w:val="both"/>
        <w:rPr>
          <w:rStyle w:val="C3"/>
          <w:rFonts w:ascii="Courier New" w:hAnsi="Courier New"/>
          <w:b w:val="1"/>
          <w:caps w:val="1"/>
        </w:rPr>
      </w:pPr>
    </w:p>
    <w:p>
      <w:pPr>
        <w:pStyle w:val="P7"/>
        <w:tabs>
          <w:tab w:val="clear" w:pos="4252" w:leader="none"/>
          <w:tab w:val="clear" w:pos="8504" w:leader="none"/>
        </w:tabs>
        <w:ind w:hanging="1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caps w:val="1"/>
        </w:rPr>
        <w:t>FÍJANSE</w:t>
      </w:r>
      <w:r>
        <w:rPr>
          <w:rStyle w:val="C3"/>
          <w:rFonts w:ascii="Courier New" w:hAnsi="Courier New"/>
        </w:rPr>
        <w:t xml:space="preserve"> los derechos por estudio de planos y documentos, verificación de cálculos e inspección, de acuerdo con el siguiente detalle:</w:t>
      </w:r>
    </w:p>
    <w:p>
      <w:pPr>
        <w:pStyle w:val="P7"/>
        <w:tabs>
          <w:tab w:val="clear" w:pos="4252" w:leader="none"/>
          <w:tab w:val="clear" w:pos="8504" w:leader="none"/>
        </w:tabs>
        <w:ind w:hanging="709" w:left="709"/>
        <w:jc w:val="both"/>
        <w:rPr>
          <w:rStyle w:val="C3"/>
          <w:rFonts w:ascii="Courier New" w:hAnsi="Courier New"/>
        </w:rPr>
      </w:pPr>
    </w:p>
    <w:p>
      <w:pPr>
        <w:pStyle w:val="P7"/>
        <w:numPr>
          <w:ilvl w:val="0"/>
          <w:numId w:val="2"/>
        </w:numPr>
        <w:tabs>
          <w:tab w:val="clear" w:pos="4252" w:leader="none"/>
          <w:tab w:val="clear" w:pos="8504" w:leader="none"/>
        </w:tabs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Por construcción de obra se abonará sobre el importe de tasación establecido por los Colegios de Ingenieros Civiles, de Arquitectos y de   Constructores Universitarios de la Provincia de Córdoba . . . . . . . . . . . . . . . . . . . . . 4‰.-</w:t>
      </w:r>
    </w:p>
    <w:p>
      <w:pPr>
        <w:pStyle w:val="P7"/>
        <w:numPr>
          <w:ilvl w:val="0"/>
          <w:numId w:val="2"/>
        </w:numPr>
        <w:tabs>
          <w:tab w:val="clear" w:pos="4252" w:leader="none"/>
          <w:tab w:val="clear" w:pos="8504" w:leader="none"/>
        </w:tabs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Por ampliación o modificación de obra se abonará sobre el importe de tasación establecido por los Colegios  de  Ingenieros  Civiles,  de  Arquitectos   y  de Constructores Universitarios de la Provincia de Córdoba o sobre el monto del presupuesto respectivamente . . . . . . . . . . . . . . . . . 4‰.-</w:t>
      </w:r>
    </w:p>
    <w:p>
      <w:pPr>
        <w:pStyle w:val="P7"/>
        <w:tabs>
          <w:tab w:val="clear" w:pos="4252" w:leader="none"/>
          <w:tab w:val="clear" w:pos="8504" w:leader="none"/>
        </w:tabs>
        <w:jc w:val="both"/>
        <w:rPr>
          <w:rStyle w:val="C3"/>
          <w:rFonts w:ascii="Courier New" w:hAnsi="Courier New"/>
        </w:rPr>
      </w:pPr>
    </w:p>
    <w:p>
      <w:pPr>
        <w:pStyle w:val="P7"/>
        <w:numPr>
          <w:ilvl w:val="0"/>
          <w:numId w:val="2"/>
        </w:numPr>
        <w:tabs>
          <w:tab w:val="clear" w:pos="4252" w:leader="none"/>
          <w:tab w:val="clear" w:pos="8504" w:leader="none"/>
        </w:tabs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Por cada obra ejecutada antes del año 1956 sin planos aprobados: Se  abonará  sobre el importe de tasación establecido por los Colegios de Ingenieros Civiles, Arquitectos y de Constructores Universitarios de la Provincia de Córdoba . . . . 1‰.-</w:t>
      </w:r>
    </w:p>
    <w:p>
      <w:pPr>
        <w:pStyle w:val="P7"/>
        <w:tabs>
          <w:tab w:val="clear" w:pos="4252" w:leader="none"/>
          <w:tab w:val="clear" w:pos="8504" w:leader="none"/>
        </w:tabs>
        <w:ind w:left="709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pStyle w:val="P7"/>
        <w:tabs>
          <w:tab w:val="clear" w:pos="4252" w:leader="none"/>
          <w:tab w:val="clear" w:pos="8504" w:leader="none"/>
        </w:tabs>
        <w:ind w:left="709"/>
        <w:jc w:val="both"/>
        <w:rPr>
          <w:rStyle w:val="C3"/>
          <w:rFonts w:ascii="Courier New" w:hAnsi="Courier New"/>
        </w:rPr>
      </w:pPr>
    </w:p>
    <w:p>
      <w:pPr>
        <w:pStyle w:val="P7"/>
        <w:tabs>
          <w:tab w:val="clear" w:pos="4252" w:leader="none"/>
          <w:tab w:val="clear" w:pos="8504" w:leader="none"/>
        </w:tabs>
        <w:ind w:left="709"/>
        <w:jc w:val="both"/>
        <w:rPr>
          <w:rStyle w:val="C3"/>
          <w:rFonts w:ascii="Courier New" w:hAnsi="Courier New"/>
        </w:rPr>
      </w:pPr>
    </w:p>
    <w:p>
      <w:pPr>
        <w:pStyle w:val="P7"/>
        <w:tabs>
          <w:tab w:val="clear" w:pos="4252" w:leader="none"/>
          <w:tab w:val="clear" w:pos="8504" w:leader="none"/>
        </w:tabs>
        <w:ind w:left="709"/>
        <w:jc w:val="both"/>
        <w:rPr>
          <w:rStyle w:val="C3"/>
          <w:rFonts w:ascii="Courier New" w:hAnsi="Courier New"/>
        </w:rPr>
      </w:pPr>
    </w:p>
    <w:p>
      <w:pPr>
        <w:pStyle w:val="P7"/>
        <w:tabs>
          <w:tab w:val="clear" w:pos="4252" w:leader="none"/>
          <w:tab w:val="clear" w:pos="8504" w:leader="none"/>
        </w:tabs>
        <w:ind w:left="709"/>
        <w:jc w:val="both"/>
        <w:rPr>
          <w:rStyle w:val="C3"/>
          <w:rFonts w:ascii="Courier New" w:hAnsi="Courier New"/>
        </w:rPr>
      </w:pPr>
    </w:p>
    <w:p>
      <w:pPr>
        <w:pStyle w:val="P7"/>
        <w:tabs>
          <w:tab w:val="clear" w:pos="4252" w:leader="none"/>
          <w:tab w:val="clear" w:pos="8504" w:leader="none"/>
        </w:tabs>
        <w:ind w:left="709"/>
        <w:jc w:val="both"/>
        <w:rPr>
          <w:rStyle w:val="C3"/>
          <w:rFonts w:ascii="Courier New" w:hAnsi="Courier New"/>
        </w:rPr>
      </w:pPr>
    </w:p>
    <w:p>
      <w:pPr>
        <w:pStyle w:val="P7"/>
        <w:tabs>
          <w:tab w:val="clear" w:pos="4252" w:leader="none"/>
          <w:tab w:val="clear" w:pos="8504" w:leader="none"/>
        </w:tabs>
        <w:ind w:left="709"/>
        <w:jc w:val="both"/>
        <w:rPr>
          <w:rStyle w:val="C3"/>
          <w:rFonts w:ascii="Courier New" w:hAnsi="Courier New"/>
        </w:rPr>
      </w:pPr>
    </w:p>
    <w:p>
      <w:pPr>
        <w:pStyle w:val="P7"/>
        <w:tabs>
          <w:tab w:val="clear" w:pos="4252" w:leader="none"/>
          <w:tab w:val="clear" w:pos="8504" w:leader="none"/>
        </w:tabs>
        <w:ind w:left="709"/>
        <w:jc w:val="both"/>
        <w:rPr>
          <w:rStyle w:val="C3"/>
          <w:rFonts w:ascii="Courier New" w:hAnsi="Courier New"/>
        </w:rPr>
      </w:pPr>
    </w:p>
    <w:p>
      <w:pPr>
        <w:pStyle w:val="P7"/>
        <w:tabs>
          <w:tab w:val="clear" w:pos="4252" w:leader="none"/>
          <w:tab w:val="clear" w:pos="8504" w:leader="none"/>
        </w:tabs>
        <w:ind w:left="709"/>
        <w:jc w:val="both"/>
        <w:rPr>
          <w:rStyle w:val="C3"/>
          <w:rFonts w:ascii="Courier New" w:hAnsi="Courier New"/>
        </w:rPr>
      </w:pPr>
    </w:p>
    <w:p>
      <w:pPr>
        <w:pStyle w:val="P7"/>
        <w:tabs>
          <w:tab w:val="clear" w:pos="4252" w:leader="none"/>
          <w:tab w:val="clear" w:pos="8504" w:leader="none"/>
        </w:tabs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...///3.-</w:t>
      </w:r>
    </w:p>
    <w:p>
      <w:pPr>
        <w:pStyle w:val="P7"/>
        <w:tabs>
          <w:tab w:val="clear" w:pos="4252" w:leader="none"/>
          <w:tab w:val="clear" w:pos="8504" w:leader="none"/>
        </w:tabs>
        <w:ind w:left="709"/>
        <w:jc w:val="both"/>
        <w:rPr>
          <w:rStyle w:val="C3"/>
          <w:rFonts w:ascii="Courier New" w:hAnsi="Courier New"/>
        </w:rPr>
      </w:pPr>
    </w:p>
    <w:p>
      <w:pPr>
        <w:pStyle w:val="P7"/>
        <w:tabs>
          <w:tab w:val="clear" w:pos="4252" w:leader="none"/>
          <w:tab w:val="clear" w:pos="8504" w:leader="none"/>
        </w:tabs>
        <w:ind w:left="709"/>
        <w:jc w:val="both"/>
        <w:rPr>
          <w:rStyle w:val="C3"/>
          <w:rFonts w:ascii="Courier New" w:hAnsi="Courier New"/>
        </w:rPr>
      </w:pPr>
    </w:p>
    <w:p>
      <w:pPr>
        <w:pStyle w:val="P7"/>
        <w:numPr>
          <w:ilvl w:val="0"/>
          <w:numId w:val="2"/>
        </w:numPr>
        <w:tabs>
          <w:tab w:val="clear" w:pos="4252" w:leader="none"/>
          <w:tab w:val="clear" w:pos="8504" w:leader="none"/>
        </w:tabs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Por cada obra ejecutada con posteridad al año 1956 sin planos aprobados:</w:t>
      </w:r>
    </w:p>
    <w:p>
      <w:pPr>
        <w:pStyle w:val="P7"/>
        <w:tabs>
          <w:tab w:val="clear" w:pos="4252" w:leader="none"/>
          <w:tab w:val="clear" w:pos="8504" w:leader="none"/>
        </w:tabs>
        <w:jc w:val="both"/>
        <w:rPr>
          <w:rStyle w:val="C3"/>
          <w:rFonts w:ascii="Courier New" w:hAnsi="Courier New"/>
        </w:rPr>
      </w:pPr>
    </w:p>
    <w:p>
      <w:pPr>
        <w:pStyle w:val="P7"/>
        <w:numPr>
          <w:ilvl w:val="0"/>
          <w:numId w:val="3"/>
        </w:numPr>
        <w:tabs>
          <w:tab w:val="left" w:pos="1701" w:leader="none"/>
          <w:tab w:val="clear" w:pos="4252" w:leader="none"/>
          <w:tab w:val="clear" w:pos="8504" w:leader="none"/>
        </w:tabs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Si su ejecución se encuadra en las Ordenanzas vigentes en el momento de su construcción, se abonará sobre el importe de tasación establecido por los Colegios de Ingenieros Civiles, de Arquitectos y de Constructores Universitarios de la Provincia de Córdoba. . . . . . . . . . . . 12‰.-</w:t>
      </w:r>
    </w:p>
    <w:p>
      <w:pPr>
        <w:pStyle w:val="P7"/>
        <w:tabs>
          <w:tab w:val="left" w:pos="1701" w:leader="none"/>
          <w:tab w:val="clear" w:pos="4252" w:leader="none"/>
          <w:tab w:val="clear" w:pos="8504" w:leader="none"/>
        </w:tabs>
        <w:ind w:left="360"/>
        <w:jc w:val="both"/>
        <w:rPr>
          <w:rStyle w:val="C3"/>
          <w:rFonts w:ascii="Courier New" w:hAnsi="Courier New"/>
        </w:rPr>
      </w:pPr>
    </w:p>
    <w:p>
      <w:pPr>
        <w:pStyle w:val="P7"/>
        <w:numPr>
          <w:ilvl w:val="0"/>
          <w:numId w:val="3"/>
        </w:numPr>
        <w:tabs>
          <w:tab w:val="clear" w:pos="4252" w:leader="none"/>
          <w:tab w:val="clear" w:pos="8504" w:leader="none"/>
        </w:tabs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Si su ejecución no se encuadra en las Ordenanzas vigentes en el momento de su construcción, se abonará sobre el importe de tasación establecido por los colegios de Ingenieros, de Arquitectos y de Constructores Universitarios de la Provincia de Córdoba. . ................................ 40‰.-</w:t>
      </w:r>
    </w:p>
    <w:p>
      <w:pPr>
        <w:pStyle w:val="P7"/>
        <w:tabs>
          <w:tab w:val="left" w:pos="1701" w:leader="none"/>
          <w:tab w:val="clear" w:pos="4252" w:leader="none"/>
          <w:tab w:val="clear" w:pos="8504" w:leader="none"/>
        </w:tabs>
        <w:ind w:left="1134"/>
        <w:jc w:val="both"/>
        <w:rPr>
          <w:rStyle w:val="C3"/>
          <w:rFonts w:ascii="Courier New" w:hAnsi="Courier New"/>
        </w:rPr>
      </w:pPr>
    </w:p>
    <w:p>
      <w:pPr>
        <w:pStyle w:val="P7"/>
        <w:numPr>
          <w:ilvl w:val="0"/>
          <w:numId w:val="3"/>
        </w:numPr>
        <w:tabs>
          <w:tab w:val="left" w:pos="1701" w:leader="none"/>
          <w:tab w:val="clear" w:pos="4252" w:leader="none"/>
          <w:tab w:val="clear" w:pos="8504" w:leader="none"/>
        </w:tabs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Toda obra ejecutada, se encuadre o no en las ordenanzas vigentes en la materia, que fuera detectada por el personal de Inspectoría Municipal, abonará a partir del 1 de Noviembre de 2009,  sobre el importe de tasación establecido por los Colegios de Ingenieros Civiles, de Arquitectos y de Constructores Universitarios de la Provincia de Córdoba...................................... 60‰.-</w:t>
      </w:r>
    </w:p>
    <w:p>
      <w:pPr>
        <w:pStyle w:val="P7"/>
        <w:tabs>
          <w:tab w:val="left" w:pos="1701" w:leader="none"/>
          <w:tab w:val="clear" w:pos="4252" w:leader="none"/>
          <w:tab w:val="clear" w:pos="8504" w:leader="none"/>
        </w:tabs>
        <w:ind w:left="360"/>
        <w:jc w:val="both"/>
        <w:rPr>
          <w:rStyle w:val="C3"/>
          <w:rFonts w:ascii="Courier New" w:hAnsi="Courier New"/>
        </w:rPr>
      </w:pPr>
    </w:p>
    <w:p>
      <w:pPr>
        <w:pStyle w:val="P7"/>
        <w:numPr>
          <w:ilvl w:val="0"/>
          <w:numId w:val="3"/>
        </w:numPr>
        <w:tabs>
          <w:tab w:val="left" w:pos="1701" w:leader="none"/>
          <w:tab w:val="clear" w:pos="4252" w:leader="none"/>
          <w:tab w:val="clear" w:pos="8504" w:leader="none"/>
        </w:tabs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Toda obra que se encuadre o no en las Ordenanzas vigentes en la materia, que fuera presentada en forma espontánea por el comitente y/o propietario, abonará a partir del 1 de Noviembre de 2009,  sobre el importe de tasación establecido por los Colegios de Ingenieros Civiles, de Arquitectos y de Constructores Universitarios de la Provincia de Córdoba...................................... 50‰.-</w:t>
      </w:r>
    </w:p>
    <w:p>
      <w:pPr>
        <w:pStyle w:val="P7"/>
        <w:tabs>
          <w:tab w:val="clear" w:pos="4252" w:leader="none"/>
          <w:tab w:val="clear" w:pos="8504" w:leader="none"/>
        </w:tabs>
        <w:ind w:left="1134"/>
        <w:jc w:val="both"/>
        <w:rPr>
          <w:rStyle w:val="C3"/>
          <w:rFonts w:ascii="Courier New" w:hAnsi="Courier New"/>
        </w:rPr>
      </w:pPr>
    </w:p>
    <w:p>
      <w:pPr>
        <w:pStyle w:val="P7"/>
        <w:numPr>
          <w:ilvl w:val="0"/>
          <w:numId w:val="3"/>
        </w:numPr>
        <w:tabs>
          <w:tab w:val="clear" w:pos="4252" w:leader="none"/>
          <w:tab w:val="clear" w:pos="8504" w:leader="none"/>
        </w:tabs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Por subdivisión, mensura y unión de acuerdo con las zonas establecidas en la Ordenanza N° 1294:</w:t>
      </w:r>
    </w:p>
    <w:p>
      <w:pPr>
        <w:pStyle w:val="P7"/>
        <w:tabs>
          <w:tab w:val="clear" w:pos="4252" w:leader="none"/>
          <w:tab w:val="clear" w:pos="8504" w:leader="none"/>
        </w:tabs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-</w:t>
      </w:r>
      <w:r>
        <w:rPr>
          <w:rStyle w:val="C3"/>
          <w:rFonts w:ascii="Courier New" w:hAnsi="Courier New"/>
          <w:color w:val="FFFFFF"/>
        </w:rPr>
        <w:t>M</w:t>
      </w:r>
      <w:r>
        <w:rPr>
          <w:rStyle w:val="C3"/>
          <w:rFonts w:ascii="Courier New" w:hAnsi="Courier New"/>
        </w:rPr>
        <w:t>Inmuebles ubicados en zona industrial. . .$80,00.-</w:t>
      </w:r>
    </w:p>
    <w:p>
      <w:pPr>
        <w:pStyle w:val="P7"/>
        <w:tabs>
          <w:tab w:val="left" w:pos="561" w:leader="none"/>
          <w:tab w:val="left" w:pos="935" w:leader="none"/>
          <w:tab w:val="clear" w:pos="4252" w:leader="none"/>
          <w:tab w:val="clear" w:pos="8504" w:leader="none"/>
        </w:tabs>
        <w:ind w:hanging="1122" w:left="1122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-</w:t>
      </w:r>
      <w:r>
        <w:rPr>
          <w:rStyle w:val="C3"/>
          <w:rFonts w:ascii="Courier New" w:hAnsi="Courier New"/>
          <w:color w:val="FFFFFF"/>
        </w:rPr>
        <w:t>M</w:t>
      </w:r>
      <w:r>
        <w:rPr>
          <w:rStyle w:val="C3"/>
          <w:rFonts w:ascii="Courier New" w:hAnsi="Courier New"/>
        </w:rPr>
        <w:t>Inmuebles ubicados en el resto de la ciudad..................................$280,00.-</w:t>
      </w:r>
    </w:p>
    <w:p>
      <w:pPr>
        <w:pStyle w:val="P7"/>
        <w:tabs>
          <w:tab w:val="clear" w:pos="4252" w:leader="none"/>
          <w:tab w:val="clear" w:pos="8504" w:leader="none"/>
        </w:tabs>
        <w:ind w:left="2127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pStyle w:val="P7"/>
        <w:tabs>
          <w:tab w:val="clear" w:pos="4252" w:leader="none"/>
          <w:tab w:val="clear" w:pos="8504" w:leader="none"/>
        </w:tabs>
        <w:ind w:left="2127"/>
        <w:jc w:val="both"/>
        <w:rPr>
          <w:rStyle w:val="C3"/>
          <w:rFonts w:ascii="Courier New" w:hAnsi="Courier New"/>
        </w:rPr>
      </w:pPr>
    </w:p>
    <w:p>
      <w:pPr>
        <w:pStyle w:val="P7"/>
        <w:tabs>
          <w:tab w:val="clear" w:pos="4252" w:leader="none"/>
          <w:tab w:val="clear" w:pos="8504" w:leader="none"/>
        </w:tabs>
        <w:ind w:left="2127"/>
        <w:jc w:val="both"/>
        <w:rPr>
          <w:rStyle w:val="C3"/>
          <w:rFonts w:ascii="Courier New" w:hAnsi="Courier New"/>
        </w:rPr>
      </w:pPr>
    </w:p>
    <w:p>
      <w:pPr>
        <w:pStyle w:val="P7"/>
        <w:tabs>
          <w:tab w:val="clear" w:pos="4252" w:leader="none"/>
          <w:tab w:val="clear" w:pos="8504" w:leader="none"/>
        </w:tabs>
        <w:ind w:left="2127"/>
        <w:jc w:val="both"/>
        <w:rPr>
          <w:rStyle w:val="C3"/>
          <w:rFonts w:ascii="Courier New" w:hAnsi="Courier New"/>
        </w:rPr>
      </w:pPr>
    </w:p>
    <w:p>
      <w:pPr>
        <w:pStyle w:val="P7"/>
        <w:tabs>
          <w:tab w:val="clear" w:pos="4252" w:leader="none"/>
          <w:tab w:val="clear" w:pos="8504" w:leader="none"/>
        </w:tabs>
        <w:ind w:left="2127"/>
        <w:jc w:val="both"/>
        <w:rPr>
          <w:rStyle w:val="C3"/>
          <w:rFonts w:ascii="Courier New" w:hAnsi="Courier New"/>
        </w:rPr>
      </w:pPr>
    </w:p>
    <w:p>
      <w:pPr>
        <w:pStyle w:val="P7"/>
        <w:tabs>
          <w:tab w:val="clear" w:pos="4252" w:leader="none"/>
          <w:tab w:val="clear" w:pos="8504" w:leader="none"/>
        </w:tabs>
        <w:ind w:left="2127"/>
        <w:jc w:val="both"/>
        <w:rPr>
          <w:rStyle w:val="C3"/>
          <w:rFonts w:ascii="Courier New" w:hAnsi="Courier New"/>
        </w:rPr>
      </w:pPr>
    </w:p>
    <w:p>
      <w:pPr>
        <w:pStyle w:val="P7"/>
        <w:tabs>
          <w:tab w:val="clear" w:pos="4252" w:leader="none"/>
          <w:tab w:val="clear" w:pos="8504" w:leader="none"/>
        </w:tabs>
        <w:ind w:left="2127"/>
        <w:jc w:val="both"/>
        <w:rPr>
          <w:rStyle w:val="C3"/>
          <w:rFonts w:ascii="Courier New" w:hAnsi="Courier New"/>
        </w:rPr>
      </w:pPr>
    </w:p>
    <w:p>
      <w:pPr>
        <w:pStyle w:val="P7"/>
        <w:tabs>
          <w:tab w:val="clear" w:pos="4252" w:leader="none"/>
          <w:tab w:val="clear" w:pos="8504" w:leader="none"/>
        </w:tabs>
        <w:ind w:left="2127"/>
        <w:jc w:val="both"/>
        <w:rPr>
          <w:rStyle w:val="C3"/>
          <w:rFonts w:ascii="Courier New" w:hAnsi="Courier New"/>
        </w:rPr>
      </w:pPr>
    </w:p>
    <w:p>
      <w:pPr>
        <w:pStyle w:val="P7"/>
        <w:tabs>
          <w:tab w:val="clear" w:pos="4252" w:leader="none"/>
          <w:tab w:val="clear" w:pos="8504" w:leader="none"/>
        </w:tabs>
        <w:ind w:left="2127"/>
        <w:jc w:val="both"/>
        <w:rPr>
          <w:rStyle w:val="C3"/>
          <w:rFonts w:ascii="Courier New" w:hAnsi="Courier New"/>
        </w:rPr>
      </w:pPr>
    </w:p>
    <w:p>
      <w:pPr>
        <w:pStyle w:val="P7"/>
        <w:tabs>
          <w:tab w:val="clear" w:pos="4252" w:leader="none"/>
          <w:tab w:val="clear" w:pos="8504" w:leader="none"/>
        </w:tabs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...///4.-</w:t>
      </w:r>
    </w:p>
    <w:p>
      <w:pPr>
        <w:pStyle w:val="P7"/>
        <w:tabs>
          <w:tab w:val="clear" w:pos="4252" w:leader="none"/>
          <w:tab w:val="clear" w:pos="8504" w:leader="none"/>
        </w:tabs>
        <w:jc w:val="both"/>
        <w:rPr>
          <w:rStyle w:val="C3"/>
          <w:rFonts w:ascii="Courier New" w:hAnsi="Courier New"/>
        </w:rPr>
      </w:pPr>
    </w:p>
    <w:p>
      <w:pPr>
        <w:pStyle w:val="P7"/>
        <w:tabs>
          <w:tab w:val="clear" w:pos="4252" w:leader="none"/>
          <w:tab w:val="clear" w:pos="8504" w:leader="none"/>
        </w:tabs>
        <w:ind w:left="2127"/>
        <w:jc w:val="both"/>
        <w:rPr>
          <w:rStyle w:val="C3"/>
          <w:rFonts w:ascii="Courier New" w:hAnsi="Courier New"/>
        </w:rPr>
      </w:pPr>
    </w:p>
    <w:p>
      <w:pPr>
        <w:pStyle w:val="P7"/>
        <w:numPr>
          <w:ilvl w:val="0"/>
          <w:numId w:val="3"/>
        </w:numPr>
        <w:tabs>
          <w:tab w:val="clear" w:pos="4252" w:leader="none"/>
          <w:tab w:val="clear" w:pos="8504" w:leader="none"/>
        </w:tabs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Los trámites de construcción y/o relevamiento de edificaciones mayores de 60 m², deberán presentar conjuntamente con la solicitud, un libre deuda inmobiliario municipal.</w:t>
      </w:r>
    </w:p>
    <w:p>
      <w:pPr>
        <w:pStyle w:val="P7"/>
        <w:tabs>
          <w:tab w:val="clear" w:pos="4252" w:leader="none"/>
          <w:tab w:val="clear" w:pos="8504" w:leader="none"/>
        </w:tabs>
        <w:ind w:left="1134"/>
        <w:jc w:val="both"/>
        <w:rPr>
          <w:rStyle w:val="C3"/>
          <w:rFonts w:ascii="Courier New" w:hAnsi="Courier New"/>
        </w:rPr>
      </w:pPr>
    </w:p>
    <w:p>
      <w:pPr>
        <w:pStyle w:val="P7"/>
        <w:numPr>
          <w:ilvl w:val="0"/>
          <w:numId w:val="3"/>
        </w:numPr>
        <w:tabs>
          <w:tab w:val="clear" w:pos="4252" w:leader="none"/>
          <w:tab w:val="clear" w:pos="8504" w:leader="none"/>
        </w:tabs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Los trámites de mensura, subdivisión y/o unión, deberán presentar un libre deuda inmobiliario municipal.  </w:t>
      </w:r>
    </w:p>
    <w:p>
      <w:pPr>
        <w:pStyle w:val="P7"/>
        <w:tabs>
          <w:tab w:val="clear" w:pos="4252" w:leader="none"/>
          <w:tab w:val="clear" w:pos="8504" w:leader="none"/>
        </w:tabs>
        <w:ind w:left="99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pStyle w:val="P7"/>
        <w:tabs>
          <w:tab w:val="clear" w:pos="4252" w:leader="none"/>
          <w:tab w:val="clear" w:pos="8504" w:leader="none"/>
        </w:tabs>
        <w:ind w:hanging="748" w:left="748"/>
        <w:jc w:val="both"/>
        <w:outlineLvl w:val="0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PROTOCOLÍCESE</w:t>
      </w:r>
      <w:r>
        <w:rPr>
          <w:rStyle w:val="C3"/>
          <w:rFonts w:ascii="Courier New" w:hAnsi="Courier New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                                              </w:t>
      </w:r>
    </w:p>
    <w:p>
      <w:pPr>
        <w:pStyle w:val="P6"/>
        <w:ind w:left="0"/>
        <w:rPr>
          <w:rStyle w:val="C3"/>
        </w:rPr>
      </w:pPr>
    </w:p>
    <w:p>
      <w:pPr>
        <w:pStyle w:val="P6"/>
        <w:ind w:left="0"/>
      </w:pPr>
      <w:r>
        <w:t>DADA EN LA SALA DE SESIONES DEL HONORABLE CONCEJO DELIBERANTE A LOS VEINTIDOS DIAS DEL MES DE ABRIL DEL AÑO DOS MIL NUEVE.-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</w:t>
      </w: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2D3D4AB8"/>
    <w:multiLevelType w:val="multilevel"/>
    <w:lvl w:ilvl="0">
      <w:start w:val="1"/>
      <w:numFmt w:val="decimal"/>
      <w:suff w:val="tab"/>
      <w:lvlText w:val="%1)"/>
      <w:legacy w:legacy="1" w:legacyIndent="360" w:legacySpace="0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329D5CA1"/>
    <w:multiLevelType w:val="multilevel"/>
    <w:lvl w:ilvl="0">
      <w:start w:val="1"/>
      <w:numFmt w:val="lowerLetter"/>
      <w:suff w:val="tab"/>
      <w:lvlText w:val="%1)"/>
      <w:legacy w:legacy="1" w:legacyIndent="720" w:legacySpace="0"/>
      <w:lvlJc w:val="left"/>
      <w:pPr>
        <w:ind w:hanging="720" w:left="108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2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3">
    <w:name w:val="Texto independiente"/>
    <w:basedOn w:val="P0"/>
    <w:next w:val="P3"/>
    <w:pPr>
      <w:jc w:val="both"/>
    </w:pPr>
    <w:rPr>
      <w:rFonts w:ascii="Courier New" w:hAnsi="Courier New"/>
    </w:rPr>
  </w:style>
  <w:style w:type="paragraph" w:styleId="P4">
    <w:name w:val="Sangría de t. independiente"/>
    <w:basedOn w:val="P0"/>
    <w:next w:val="P4"/>
    <w:pPr>
      <w:ind w:left="748"/>
      <w:jc w:val="both"/>
    </w:pPr>
    <w:rPr>
      <w:rFonts w:ascii="Courier New" w:hAnsi="Courier New"/>
    </w:rPr>
  </w:style>
  <w:style w:type="paragraph" w:styleId="P5">
    <w:name w:val="Sangría 2 de t. independiente"/>
    <w:basedOn w:val="P0"/>
    <w:next w:val="P5"/>
    <w:pPr>
      <w:ind w:hanging="748" w:left="748"/>
      <w:jc w:val="both"/>
    </w:pPr>
    <w:rPr>
      <w:rFonts w:ascii="Courier New" w:hAnsi="Courier New"/>
    </w:rPr>
  </w:style>
  <w:style w:type="paragraph" w:styleId="P6">
    <w:name w:val="Sangría 3 de t. independiente"/>
    <w:basedOn w:val="P0"/>
    <w:next w:val="P6"/>
    <w:pPr>
      <w:ind w:left="748"/>
      <w:jc w:val="both"/>
    </w:pPr>
    <w:rPr>
      <w:rFonts w:ascii="Courier New" w:hAnsi="Courier New"/>
      <w:b w:val="1"/>
    </w:rPr>
  </w:style>
  <w:style w:type="paragraph" w:styleId="P7">
    <w:name w:val="Encabezado"/>
    <w:basedOn w:val="P0"/>
    <w:next w:val="P7"/>
    <w:pPr>
      <w:tabs>
        <w:tab w:val="center" w:pos="4252" w:leader="none"/>
        <w:tab w:val="right" w:pos="8504" w:leader="none"/>
      </w:tabs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2009-04-24T01:05:00Z</dcterms:created>
  <cp:lastModifiedBy>Ethan Puglia</cp:lastModifiedBy>
  <cp:lastPrinted>2009-04-24T01:03:00Z</cp:lastPrinted>
  <dcterms:modified xsi:type="dcterms:W3CDTF">2019-03-28T17:34:12Z</dcterms:modified>
  <cp:revision>9</cp:revision>
  <dc:title>PROYECTO DE ORDENANZA VIOLENCIA FAMILIAR</dc:title>
</cp:coreProperties>
</file>