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F289CA" Type="http://schemas.openxmlformats.org/officeDocument/2006/relationships/officeDocument" Target="/word/document.xml" /><Relationship Id="coreR7CF289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3"/>
      </w:pPr>
      <w:r>
        <w:t xml:space="preserve">ORDENANZA  N° 8369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</w:t>
      </w:r>
      <w:r>
        <w:rPr>
          <w:rStyle w:val="C3"/>
          <w:b w:val="0"/>
          <w:u w:val="none"/>
        </w:rPr>
        <w:t>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Las Pensiones a la Vejez</w:t>
      </w:r>
      <w:r>
        <w:rPr>
          <w:rStyle w:val="C3"/>
          <w:b w:val="0"/>
          <w:u w:val="none"/>
        </w:rPr>
        <w:t xml:space="preserve">, las Ordenanzas N° 1539, 1803, 1936, 2126, 2240, 2710, 6329 y 6977;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both"/>
        <w:rPr>
          <w:rStyle w:val="C3"/>
          <w:b w:val="1"/>
          <w:u w:val="none"/>
        </w:rPr>
      </w:pPr>
    </w:p>
    <w:p>
      <w:pPr>
        <w:pStyle w:val="P11"/>
        <w:ind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Que, haciendo historia, el Estado Municipal, mediante los extremos de la Ordenanza Nº 1539, decide </w:t>
      </w:r>
      <w:r>
        <w:rPr>
          <w:rStyle w:val="C3"/>
          <w:b w:val="0"/>
          <w:u w:val="none"/>
        </w:rPr>
        <w:t xml:space="preserve">paliar mínimamente las necesidades insatisfechas de </w:t>
      </w:r>
      <w:r>
        <w:rPr>
          <w:rStyle w:val="C3"/>
          <w:b w:val="0"/>
          <w:u w:val="none"/>
        </w:rPr>
        <w:t>uno d</w:t>
      </w:r>
      <w:r>
        <w:rPr>
          <w:rStyle w:val="C3"/>
          <w:b w:val="0"/>
          <w:u w:val="none"/>
        </w:rPr>
        <w:t xml:space="preserve">e los grupos etareos mas sensibles, vulnerables </w:t>
      </w:r>
      <w:r>
        <w:rPr>
          <w:rStyle w:val="C3"/>
          <w:b w:val="0"/>
          <w:u w:val="none"/>
        </w:rPr>
        <w:t>y desprotejidos de la trama social de la ciudad, los vecinos mayores;</w:t>
      </w: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la iniciativa en cuestión se atendía con fondos provenientes de la coparticipación por venta de entradas a la sala de juegos  </w:t>
      </w:r>
      <w:r>
        <w:rPr>
          <w:rStyle w:val="C3"/>
          <w:b w:val="0"/>
          <w:u w:val="none"/>
        </w:rPr>
        <w:t>instalada, entonces,</w:t>
      </w:r>
      <w:r>
        <w:rPr>
          <w:rStyle w:val="C3"/>
          <w:b w:val="0"/>
          <w:u w:val="none"/>
        </w:rPr>
        <w:t xml:space="preserve"> en la ciudad mediante</w:t>
      </w:r>
      <w:r>
        <w:rPr>
          <w:rStyle w:val="C3"/>
          <w:b w:val="0"/>
          <w:u w:val="none"/>
        </w:rPr>
        <w:t xml:space="preserve"> convenio suscrito con la Lotería Nacional de Beneficencia y Casinos, titular de la misma; </w:t>
      </w: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Que, con el</w:t>
      </w:r>
      <w:r>
        <w:rPr>
          <w:rStyle w:val="C3"/>
          <w:b w:val="0"/>
          <w:u w:val="none"/>
        </w:rPr>
        <w:t xml:space="preserve"> transcurrir del tiempo, Casinos Nacionales, primeramente, dej</w:t>
      </w:r>
      <w:r>
        <w:rPr>
          <w:rStyle w:val="C3"/>
          <w:b w:val="0"/>
          <w:u w:val="none"/>
        </w:rPr>
        <w:t>ó</w:t>
      </w:r>
      <w:r>
        <w:rPr>
          <w:rStyle w:val="C3"/>
          <w:b w:val="0"/>
          <w:u w:val="none"/>
        </w:rPr>
        <w:t xml:space="preserve"> de percibir </w:t>
      </w:r>
      <w:r>
        <w:rPr>
          <w:rStyle w:val="C3"/>
          <w:b w:val="0"/>
          <w:u w:val="none"/>
        </w:rPr>
        <w:t>el ingreso a sus salas de j</w:t>
      </w:r>
      <w:r>
        <w:rPr>
          <w:rStyle w:val="C3"/>
          <w:b w:val="0"/>
          <w:u w:val="none"/>
        </w:rPr>
        <w:t xml:space="preserve">uego, posteriormente, se retira </w:t>
      </w:r>
      <w:r>
        <w:rPr>
          <w:rStyle w:val="C3"/>
          <w:b w:val="0"/>
          <w:u w:val="none"/>
        </w:rPr>
        <w:t>dejando en manos del Estado Provincial las actividades lúdicas de la provincia;</w:t>
      </w: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Que, con fondos propios, el Estado Municipal contin</w:t>
      </w:r>
      <w:r>
        <w:rPr>
          <w:rStyle w:val="C3"/>
          <w:b w:val="0"/>
          <w:u w:val="none"/>
        </w:rPr>
        <w:t>ú</w:t>
      </w:r>
      <w:r>
        <w:rPr>
          <w:rStyle w:val="C3"/>
          <w:b w:val="0"/>
          <w:u w:val="none"/>
        </w:rPr>
        <w:t>a brindando las subvenciones fijadas oportunamente, con montos que las circunstancia</w:t>
      </w:r>
      <w:r>
        <w:rPr>
          <w:rStyle w:val="C3"/>
          <w:b w:val="0"/>
          <w:u w:val="none"/>
        </w:rPr>
        <w:t>s y vaivenes de la economía van haciendo perder su valor adquisitivo pero sin dejar de concederlas;</w:t>
      </w: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</w:t>
      </w:r>
      <w:r>
        <w:rPr>
          <w:rStyle w:val="C3"/>
          <w:b w:val="0"/>
          <w:u w:val="none"/>
        </w:rPr>
        <w:t>los cambios de denominación de la moneda, Pesos Argentinos a Australes, Australes a</w:t>
      </w:r>
      <w:r>
        <w:rPr>
          <w:rStyle w:val="C3"/>
          <w:b w:val="0"/>
          <w:u w:val="none"/>
        </w:rPr>
        <w:t xml:space="preserve"> Pesos, operaron en detrimento de su eficacia siendo  meneste</w:t>
      </w:r>
      <w:r>
        <w:rPr>
          <w:rStyle w:val="C3"/>
          <w:b w:val="0"/>
          <w:u w:val="none"/>
        </w:rPr>
        <w:t>r actualizar el monto</w:t>
      </w:r>
      <w:r>
        <w:rPr>
          <w:rStyle w:val="C3"/>
          <w:b w:val="0"/>
          <w:u w:val="none"/>
        </w:rPr>
        <w:t xml:space="preserve"> mensualmente percibido para la subsistencia mínima de los beneficiarios;</w:t>
      </w:r>
    </w:p>
    <w:p>
      <w:pPr>
        <w:pStyle w:val="P11"/>
        <w:ind w:hanging="992" w:left="567"/>
        <w:jc w:val="righ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</w:t>
      </w: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</w:t>
      </w: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</w:p>
    <w:p>
      <w:pPr>
        <w:pStyle w:val="P11"/>
        <w:ind w:left="567"/>
        <w:jc w:val="both"/>
        <w:rPr>
          <w:rStyle w:val="C3"/>
          <w:b w:val="1"/>
          <w:u w:val="none"/>
        </w:rPr>
      </w:pPr>
    </w:p>
    <w:p>
      <w:pPr>
        <w:pStyle w:val="P11"/>
        <w:ind w:left="567"/>
        <w:jc w:val="both"/>
        <w:rPr>
          <w:rStyle w:val="C3"/>
          <w:b w:val="1"/>
          <w:u w:val="none"/>
        </w:rPr>
      </w:pPr>
    </w:p>
    <w:p>
      <w:pPr>
        <w:pStyle w:val="P11"/>
        <w:ind w:left="567"/>
        <w:jc w:val="both"/>
        <w:rPr>
          <w:rStyle w:val="C3"/>
          <w:b w:val="1"/>
          <w:u w:val="none"/>
        </w:rPr>
      </w:pPr>
    </w:p>
    <w:p>
      <w:pPr>
        <w:pStyle w:val="P11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...///2.-</w:t>
      </w:r>
    </w:p>
    <w:p>
      <w:pPr>
        <w:pStyle w:val="P11"/>
        <w:ind w:left="567"/>
        <w:jc w:val="both"/>
        <w:rPr>
          <w:rStyle w:val="C3"/>
          <w:b w:val="1"/>
          <w:u w:val="none"/>
        </w:rPr>
      </w:pPr>
    </w:p>
    <w:p>
      <w:pPr>
        <w:pStyle w:val="P11"/>
        <w:ind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Que, también, </w:t>
      </w:r>
      <w:r>
        <w:rPr>
          <w:rStyle w:val="C3"/>
          <w:b w:val="0"/>
          <w:u w:val="none"/>
        </w:rPr>
        <w:t xml:space="preserve">es dable observar </w:t>
      </w:r>
      <w:r>
        <w:rPr>
          <w:rStyle w:val="C3"/>
          <w:b w:val="0"/>
          <w:u w:val="none"/>
        </w:rPr>
        <w:t xml:space="preserve">en la Ordenanza N°6977, </w:t>
      </w:r>
      <w:r>
        <w:rPr>
          <w:rStyle w:val="C3"/>
          <w:b w:val="0"/>
          <w:u w:val="none"/>
        </w:rPr>
        <w:t>modifica</w:t>
      </w:r>
      <w:r>
        <w:rPr>
          <w:rStyle w:val="C3"/>
          <w:b w:val="0"/>
          <w:u w:val="none"/>
        </w:rPr>
        <w:t xml:space="preserve"> la ordenanza N°1803, la que fue derogada por </w:t>
      </w:r>
      <w:r>
        <w:rPr>
          <w:rStyle w:val="C3"/>
          <w:b w:val="0"/>
          <w:u w:val="none"/>
        </w:rPr>
        <w:t>O</w:t>
      </w:r>
      <w:r>
        <w:rPr>
          <w:rStyle w:val="C3"/>
          <w:b w:val="0"/>
          <w:u w:val="none"/>
        </w:rPr>
        <w:t>rdenanza N° 1936</w:t>
      </w:r>
      <w:r>
        <w:rPr>
          <w:rStyle w:val="C3"/>
          <w:b w:val="0"/>
          <w:u w:val="none"/>
        </w:rPr>
        <w:t xml:space="preserve">, y a su vez ésta </w:t>
      </w:r>
      <w:r>
        <w:rPr>
          <w:rStyle w:val="C3"/>
          <w:b w:val="0"/>
          <w:u w:val="none"/>
        </w:rPr>
        <w:t xml:space="preserve">por la Ordenanza N°2240; </w:t>
      </w:r>
    </w:p>
    <w:p>
      <w:pPr>
        <w:pStyle w:val="P11"/>
        <w:jc w:val="both"/>
        <w:rPr>
          <w:rStyle w:val="C3"/>
          <w:b w:val="1"/>
          <w:u w:val="none"/>
        </w:rPr>
      </w:pPr>
    </w:p>
    <w:p>
      <w:pPr>
        <w:pStyle w:val="P11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es </w:t>
      </w:r>
      <w:r>
        <w:rPr>
          <w:rStyle w:val="C3"/>
          <w:b w:val="0"/>
          <w:u w:val="none"/>
        </w:rPr>
        <w:t xml:space="preserve">necesario, oportuno y conveniente dada la dispersión </w:t>
      </w:r>
      <w:r>
        <w:rPr>
          <w:rStyle w:val="C3"/>
          <w:b w:val="0"/>
          <w:u w:val="none"/>
        </w:rPr>
        <w:t>y contradicciones existentes,</w:t>
      </w:r>
      <w:r>
        <w:rPr>
          <w:rStyle w:val="C3"/>
          <w:b w:val="0"/>
          <w:u w:val="none"/>
        </w:rPr>
        <w:t xml:space="preserve"> elaborar un texto legislativo </w:t>
      </w:r>
      <w:r>
        <w:rPr>
          <w:rStyle w:val="C3"/>
          <w:b w:val="0"/>
          <w:u w:val="none"/>
        </w:rPr>
        <w:t>eficaz para su correcta aplicación;</w:t>
      </w:r>
    </w:p>
    <w:p>
      <w:pPr>
        <w:pStyle w:val="P11"/>
        <w:jc w:val="both"/>
        <w:rPr>
          <w:rStyle w:val="C3"/>
          <w:b w:val="1"/>
          <w:u w:val="none"/>
        </w:rPr>
      </w:pPr>
    </w:p>
    <w:p>
      <w:pPr>
        <w:pStyle w:val="P11"/>
        <w:spacing w:after="240"/>
        <w:ind w:hanging="561" w:left="561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Que se debe mantener es</w:t>
      </w:r>
      <w:r>
        <w:rPr>
          <w:rStyle w:val="C3"/>
          <w:b w:val="0"/>
          <w:u w:val="none"/>
        </w:rPr>
        <w:t>te importante sistem</w:t>
      </w:r>
      <w:r>
        <w:rPr>
          <w:rStyle w:val="C3"/>
          <w:b w:val="0"/>
          <w:u w:val="none"/>
        </w:rPr>
        <w:t xml:space="preserve">a que sirve </w:t>
      </w:r>
      <w:r>
        <w:rPr>
          <w:rStyle w:val="C3"/>
          <w:b w:val="0"/>
          <w:u w:val="none"/>
        </w:rPr>
        <w:t>para palear</w:t>
      </w:r>
      <w:r>
        <w:rPr>
          <w:rStyle w:val="C3"/>
          <w:b w:val="0"/>
          <w:u w:val="none"/>
        </w:rPr>
        <w:t>,</w:t>
      </w:r>
      <w:r>
        <w:rPr>
          <w:rStyle w:val="C3"/>
          <w:b w:val="0"/>
          <w:u w:val="none"/>
        </w:rPr>
        <w:t xml:space="preserve"> aunque sea en forma exigua</w:t>
      </w:r>
      <w:r>
        <w:rPr>
          <w:rStyle w:val="C3"/>
          <w:b w:val="0"/>
          <w:u w:val="none"/>
        </w:rPr>
        <w:t>,</w:t>
      </w:r>
      <w:r>
        <w:rPr>
          <w:rStyle w:val="C3"/>
          <w:b w:val="0"/>
          <w:u w:val="none"/>
        </w:rPr>
        <w:t xml:space="preserve"> la necesidad de nuestros vecinos más desprotejidos;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Concejales, se decide su aprobación por unanimidad, en Sesión Ordinaria del día 29 de Abril de 2009.-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ESTABLECENSE</w:t>
      </w:r>
      <w:r>
        <w:rPr>
          <w:rStyle w:val="C3"/>
          <w:rFonts w:ascii="Courier New" w:hAnsi="Courier New"/>
        </w:rPr>
        <w:t xml:space="preserve"> “</w:t>
      </w:r>
      <w:r>
        <w:rPr>
          <w:rStyle w:val="C3"/>
          <w:rFonts w:ascii="Courier New" w:hAnsi="Courier New"/>
          <w:i w:val="1"/>
          <w:u w:val="single"/>
        </w:rPr>
        <w:t>Pensiones a la Vejez”</w:t>
      </w:r>
      <w:r>
        <w:rPr>
          <w:rStyle w:val="C3"/>
          <w:rFonts w:ascii="Courier New" w:hAnsi="Courier New"/>
        </w:rPr>
        <w:t xml:space="preserve"> destinadas a personas que, teniendo edad para acogerse a los beneficios de la previsión social, no gozan de jubilaciones o pensiones que otorguen los organismos pertinentes.-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CUMPLIMÉNTENSE</w:t>
      </w:r>
      <w:r>
        <w:rPr>
          <w:rStyle w:val="C3"/>
          <w:rFonts w:ascii="Courier New" w:hAnsi="Courier New"/>
        </w:rPr>
        <w:t xml:space="preserve"> necesariamente para ser beneficiario de estas pensiones  los siguientes requisitos: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a)</w:t>
      </w:r>
      <w:r>
        <w:rPr>
          <w:rStyle w:val="C3"/>
          <w:rFonts w:ascii="Courier New" w:hAnsi="Courier New"/>
        </w:rPr>
        <w:t xml:space="preserve"> Tener 65 años de edad cumplidos.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b)</w:t>
      </w:r>
      <w:r>
        <w:rPr>
          <w:rStyle w:val="C3"/>
          <w:rFonts w:ascii="Courier New" w:hAnsi="Courier New"/>
          <w:b w:val="1"/>
          <w:color w:val="FFFFFF"/>
        </w:rPr>
        <w:t>a</w:t>
      </w:r>
      <w:r>
        <w:rPr>
          <w:rStyle w:val="C3"/>
          <w:rFonts w:ascii="Courier New" w:hAnsi="Courier New"/>
        </w:rPr>
        <w:t xml:space="preserve">Poseer documento de identidad expedido por autoridad  nacional o provincial. Las personas que no lo posean podrán acreditar su identidad y presunta edad mediante información sumaria testimonial y certificado médico policial, respectivamente.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c)</w:t>
      </w:r>
      <w:r>
        <w:rPr>
          <w:rStyle w:val="C3"/>
          <w:rFonts w:ascii="Courier New" w:hAnsi="Courier New"/>
        </w:rPr>
        <w:t xml:space="preserve"> Carecer de bienes, ingresos y de familiares </w:t>
      </w:r>
    </w:p>
    <w:p>
      <w:pPr>
        <w:ind w:firstLine="3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firstLine="3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obligados legalmente a la prestación de alimentos, salvo que estos se encontraren incapacitados o totalmente imposibilitados de poder ayudar al solicitante.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d)</w:t>
      </w:r>
      <w:r>
        <w:rPr>
          <w:rStyle w:val="C3"/>
          <w:rFonts w:ascii="Courier New" w:hAnsi="Courier New"/>
        </w:rPr>
        <w:t xml:space="preserve"> Ser vecino con una  residencia mínima y continuada de DIEZ (10) años en la ciudad.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e)</w:t>
      </w:r>
      <w:r>
        <w:rPr>
          <w:rStyle w:val="C3"/>
          <w:rFonts w:ascii="Courier New" w:hAnsi="Courier New"/>
        </w:rPr>
        <w:t xml:space="preserve"> Acreditar en forma fehaciente el estado de necesidad, el que surgirá del correspondiente relevamiento Socioeconómico y Ambiental.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f)</w:t>
      </w:r>
      <w:r>
        <w:rPr>
          <w:rStyle w:val="C3"/>
          <w:rFonts w:ascii="Courier New" w:hAnsi="Courier New"/>
        </w:rPr>
        <w:t xml:space="preserve"> Tratándose de matrimonios, el profesional  interviniente determinará si corresponde o no el otorgamiento del beneficio a ambos cónyuges, la misma exigencia se tendrá en los casos de uniones de hecho.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g)</w:t>
      </w:r>
      <w:r>
        <w:rPr>
          <w:rStyle w:val="C3"/>
          <w:rFonts w:ascii="Courier New" w:hAnsi="Courier New"/>
        </w:rPr>
        <w:t xml:space="preserve"> Tratándose de  internados en Hogares dependientes del Estado, podrá concederse el beneficio en los casos en que el presupuesto de las mencionadas instituciones no cumpla o contemple partida alguna para el pago del peculio a los ancianos acogidos.-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FIJASE</w:t>
      </w:r>
      <w:r>
        <w:rPr>
          <w:rStyle w:val="C3"/>
          <w:rFonts w:ascii="Courier New" w:hAnsi="Courier New"/>
        </w:rPr>
        <w:t xml:space="preserve"> el monto de las pensiones establecidas en la presente, en la suma de PESOS UN MIL ($1.000) a partir del mes de Junio de 2018</w:t>
      </w:r>
      <w:r>
        <w:rPr>
          <w:rStyle w:val="C5"/>
          <w:rFonts w:ascii="Times New Roman" w:hAnsi="Times New Roman"/>
        </w:rPr>
        <w:footnoteReference w:id="0"/>
      </w:r>
      <w:r>
        <w:rPr>
          <w:rStyle w:val="C3"/>
          <w:rFonts w:ascii="Courier New" w:hAnsi="Courier New"/>
        </w:rPr>
        <w:t>.-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ind w:hanging="561" w:left="561"/>
        <w:jc w:val="both"/>
        <w:rPr>
          <w:rStyle w:val="C3"/>
          <w:b w:val="1"/>
          <w:u w:val="none"/>
        </w:rPr>
      </w:pPr>
      <w:r>
        <w:t>Art.4</w:t>
      </w:r>
      <w:r>
        <w:rPr>
          <w:rStyle w:val="C3"/>
          <w:b w:val="0"/>
          <w:u w:val="none"/>
        </w:rPr>
        <w:t>: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u w:val="none"/>
        </w:rPr>
        <w:t>IMPÚTESE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 xml:space="preserve">la erogación que demande </w:t>
      </w:r>
      <w:r>
        <w:rPr>
          <w:rStyle w:val="C3"/>
          <w:b w:val="0"/>
          <w:u w:val="none"/>
        </w:rPr>
        <w:t xml:space="preserve">el cumplimiento de lo dispuesto precedentemente a la cuenta que anualmente se asigne en la Ordenanza General de Presupuesto, “Pensiones a la Vejez”, </w:t>
      </w:r>
      <w:r>
        <w:rPr>
          <w:rStyle w:val="C3"/>
          <w:b w:val="0"/>
          <w:u w:val="none"/>
        </w:rPr>
        <w:t>de la Dirección de Desarrollo Humano y Trabajo o aquella repartición que la reemplace.-</w:t>
      </w: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561" w:left="561"/>
        <w:jc w:val="both"/>
        <w:rPr>
          <w:rStyle w:val="C3"/>
          <w:b w:val="1"/>
          <w:u w:val="none"/>
        </w:rPr>
      </w:pPr>
      <w:r>
        <w:t>Art.5</w:t>
      </w:r>
      <w:r>
        <w:rPr>
          <w:rStyle w:val="C3"/>
          <w:b w:val="0"/>
          <w:u w:val="none"/>
        </w:rPr>
        <w:t xml:space="preserve">: </w:t>
      </w:r>
      <w:r>
        <w:rPr>
          <w:rStyle w:val="C3"/>
          <w:u w:val="none"/>
        </w:rPr>
        <w:t>OTORGANSE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 xml:space="preserve">las </w:t>
      </w:r>
      <w:r>
        <w:rPr>
          <w:rStyle w:val="C3"/>
          <w:b w:val="0"/>
          <w:u w:val="none"/>
        </w:rPr>
        <w:t xml:space="preserve">pensiones determinadas en el Art.1º, mediante </w:t>
      </w:r>
      <w:r>
        <w:rPr>
          <w:rStyle w:val="C3"/>
          <w:b w:val="0"/>
          <w:u w:val="none"/>
        </w:rPr>
        <w:t xml:space="preserve">Ordenanzas Especiales para cada caso </w:t>
      </w:r>
      <w:r>
        <w:rPr>
          <w:rStyle w:val="C3"/>
          <w:b w:val="0"/>
          <w:u w:val="none"/>
        </w:rPr>
        <w:t xml:space="preserve">en particular y de carácter intransferible, salvo en ocasión </w:t>
      </w:r>
      <w:r>
        <w:rPr>
          <w:rStyle w:val="C3"/>
          <w:b w:val="0"/>
          <w:u w:val="none"/>
        </w:rPr>
        <w:t>del cónyuge o concubino conviviente y siempre que las condiciones que hicieron posible el beneficio se m</w:t>
      </w:r>
      <w:r>
        <w:rPr>
          <w:rStyle w:val="C3"/>
          <w:b w:val="0"/>
          <w:u w:val="none"/>
        </w:rPr>
        <w:t>antengan, quedando asimismo sujetas a las modificaciones totales o parciales que al respecto se pudieran realizar.-</w:t>
      </w:r>
    </w:p>
    <w:p>
      <w:pPr>
        <w:pStyle w:val="P11"/>
        <w:ind w:hanging="709" w:left="709"/>
        <w:jc w:val="both"/>
        <w:rPr>
          <w:rStyle w:val="C3"/>
        </w:rPr>
      </w:pPr>
    </w:p>
    <w:p>
      <w:pPr>
        <w:pStyle w:val="P11"/>
        <w:ind w:hanging="709" w:left="709"/>
        <w:jc w:val="righ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</w:t>
      </w: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...///4.-</w:t>
      </w: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561" w:left="561"/>
        <w:jc w:val="both"/>
        <w:rPr>
          <w:rStyle w:val="C3"/>
          <w:b w:val="1"/>
          <w:u w:val="none"/>
        </w:rPr>
      </w:pPr>
      <w:r>
        <w:t>Art.6</w:t>
      </w:r>
      <w:r>
        <w:rPr>
          <w:rStyle w:val="C3"/>
          <w:u w:val="none"/>
        </w:rPr>
        <w:t>: INGRÉSENSE</w:t>
      </w:r>
      <w:r>
        <w:rPr>
          <w:rStyle w:val="C3"/>
          <w:b w:val="0"/>
          <w:u w:val="none"/>
        </w:rPr>
        <w:t xml:space="preserve"> las solicitudes para la obtención de las referidas pensiones, por Mesa de Entradas, dirigidas</w:t>
      </w:r>
      <w:r>
        <w:rPr>
          <w:rStyle w:val="C3"/>
          <w:b w:val="0"/>
          <w:u w:val="none"/>
        </w:rPr>
        <w:t xml:space="preserve"> al Sr. Intendente Municipal y </w:t>
      </w:r>
      <w:r>
        <w:rPr>
          <w:rStyle w:val="C3"/>
          <w:u w:val="none"/>
        </w:rPr>
        <w:t>EXÍMASE</w:t>
      </w:r>
      <w:r>
        <w:rPr>
          <w:rStyle w:val="C3"/>
          <w:b w:val="0"/>
          <w:u w:val="none"/>
        </w:rPr>
        <w:t xml:space="preserve"> del sellado correspondiente.-</w:t>
      </w:r>
    </w:p>
    <w:p>
      <w:pPr>
        <w:pStyle w:val="P11"/>
        <w:ind w:hanging="709" w:left="709"/>
        <w:jc w:val="both"/>
        <w:rPr>
          <w:rStyle w:val="C3"/>
          <w:b w:val="1"/>
          <w:u w:val="none"/>
        </w:rPr>
      </w:pPr>
    </w:p>
    <w:p>
      <w:pPr>
        <w:pStyle w:val="P11"/>
        <w:ind w:hanging="561" w:left="561"/>
        <w:jc w:val="both"/>
        <w:rPr>
          <w:rStyle w:val="C3"/>
          <w:b w:val="1"/>
          <w:u w:val="none"/>
        </w:rPr>
      </w:pPr>
      <w:r>
        <w:t>Art.7</w:t>
      </w:r>
      <w:r>
        <w:rPr>
          <w:rStyle w:val="C3"/>
          <w:u w:val="none"/>
        </w:rPr>
        <w:t xml:space="preserve">: DEROGANSE </w:t>
      </w:r>
      <w:r>
        <w:rPr>
          <w:rStyle w:val="C3"/>
          <w:b w:val="0"/>
          <w:u w:val="none"/>
        </w:rPr>
        <w:t>las Ordenanzas Nº1936, 2126, 2240, 2710, 6329 y 6977.-</w:t>
      </w:r>
    </w:p>
    <w:p>
      <w:pPr>
        <w:ind w:firstLine="39" w:left="709"/>
        <w:jc w:val="both"/>
        <w:rPr>
          <w:rStyle w:val="C3"/>
          <w:rFonts w:ascii="Courier New" w:hAnsi="Courier New"/>
        </w:rPr>
      </w:pPr>
    </w:p>
    <w:p>
      <w:pPr>
        <w:pStyle w:val="P4"/>
        <w:ind w:hanging="374" w:left="374"/>
        <w:rPr>
          <w:rStyle w:val="C3"/>
          <w:b w:val="1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8</w:t>
      </w:r>
      <w:r>
        <w:rPr>
          <w:rStyle w:val="C3"/>
          <w:b w:val="1"/>
        </w:rPr>
        <w:t>: LA</w:t>
      </w:r>
      <w:r>
        <w:t xml:space="preserve"> presente Ordenanza comenzará a regir a partir de la fecha de su sanción en virtud del Artículo 24 de la Carta Orgánica Municipal</w:t>
      </w:r>
      <w:r>
        <w:rPr>
          <w:rStyle w:val="C3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9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0"/>
      </w:pPr>
      <w:r>
        <w:t>DADA EN LA SALA DE SESIONES DEL HONORABLE CONCEJO DELIBERANTE A LOS VEINTINUEVE DIAS DEL MES DE ABRIL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footnote w:id="0">
    <w:p>
      <w:pPr>
        <w:pStyle w:val="P12"/>
        <w:rPr>
          <w:rStyle w:val="C3"/>
          <w:i w:val="1"/>
        </w:rPr>
      </w:pPr>
      <w:r>
        <w:rPr>
          <w:rStyle w:val="C5"/>
        </w:rPr>
        <w:footnoteRef/>
      </w:r>
      <w:r>
        <w:t xml:space="preserve"> Texto ordenado según Ord. Nro. 10769.</w:t>
      </w:r>
    </w:p>
    <w:p>
      <w:pPr>
        <w:pStyle w:val="P12"/>
        <w:rPr>
          <w:rStyle w:val="C3"/>
          <w:i w:val="1"/>
        </w:rPr>
      </w:pPr>
      <w:r>
        <w:t>Texto modificado:</w:t>
      </w:r>
      <w:r>
        <w:rPr>
          <w:rStyle w:val="C3"/>
          <w:i w:val="1"/>
        </w:rPr>
        <w:t xml:space="preserve"> </w:t>
      </w:r>
      <w:r>
        <w:rPr>
          <w:rStyle w:val="C3"/>
          <w:i w:val="1"/>
        </w:rPr>
        <w:t>“</w:t>
      </w:r>
      <w:r>
        <w:rPr>
          <w:rStyle w:val="C3"/>
          <w:i w:val="1"/>
        </w:rPr>
        <w:t>FIJASE el monto de las pensiones establecidas en la presente, en la suma de PESOS CUATROCIENTOS ($400) a partir del mes de marzo de 2014</w:t>
      </w:r>
      <w:r>
        <w:rPr>
          <w:rStyle w:val="C3"/>
          <w:i w:val="1"/>
        </w:rPr>
        <w:t>”</w:t>
      </w:r>
      <w:r>
        <w:rPr>
          <w:rStyle w:val="C3"/>
          <w:i w:val="1"/>
        </w:rPr>
        <w:t xml:space="preserve"> (Ord. Nro. 969</w:t>
      </w:r>
      <w:r>
        <w:rPr>
          <w:rStyle w:val="C3"/>
          <w:i w:val="1"/>
        </w:rPr>
        <w:t>2)</w:t>
      </w:r>
    </w:p>
    <w:p>
      <w:pPr>
        <w:pStyle w:val="P12"/>
      </w:pPr>
      <w:r>
        <w:t xml:space="preserve">Texto original: </w:t>
      </w:r>
      <w:r>
        <w:rPr>
          <w:rStyle w:val="C3"/>
          <w:i w:val="1"/>
        </w:rPr>
        <w:t>“</w:t>
      </w:r>
      <w:r>
        <w:rPr>
          <w:rStyle w:val="C3"/>
          <w:i w:val="1"/>
        </w:rPr>
        <w:t xml:space="preserve">FIJASE el monto de las pensiones establecidas en la </w:t>
      </w:r>
      <w:r>
        <w:rPr>
          <w:rStyle w:val="C3"/>
          <w:i w:val="1"/>
        </w:rPr>
        <w:t xml:space="preserve">presente, en la </w:t>
      </w:r>
      <w:r>
        <w:rPr>
          <w:rStyle w:val="C3"/>
          <w:i w:val="1"/>
        </w:rPr>
        <w:t>suma de PESOS CIENTO CINCUENTA ($150.00)</w:t>
      </w:r>
      <w:r>
        <w:rPr>
          <w:rStyle w:val="C3"/>
          <w:i w:val="1"/>
        </w:rPr>
        <w:t xml:space="preserve"> </w:t>
      </w:r>
      <w:r>
        <w:rPr>
          <w:rStyle w:val="C3"/>
          <w:i w:val="1"/>
        </w:rPr>
        <w:t>a partir del mes de Mayo de 2009</w:t>
      </w:r>
      <w:r>
        <w:rPr>
          <w:rStyle w:val="C3"/>
          <w:i w:val="1"/>
        </w:rPr>
        <w:t>”</w:t>
      </w:r>
      <w:r>
        <w:t>.</w:t>
      </w:r>
    </w:p>
    <w:p>
      <w:pPr>
        <w:pStyle w:val="P12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3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4">
    <w:name w:val="Texto independiente"/>
    <w:basedOn w:val="P0"/>
    <w:next w:val="P4"/>
    <w:pPr>
      <w:jc w:val="both"/>
    </w:pPr>
    <w:rPr>
      <w:rFonts w:ascii="Courier New" w:hAnsi="Courier New"/>
    </w:rPr>
  </w:style>
  <w:style w:type="paragraph" w:styleId="P5">
    <w:name w:val="Sangría de texto normal"/>
    <w:basedOn w:val="P0"/>
    <w:next w:val="P5"/>
    <w:pPr>
      <w:ind w:left="748"/>
      <w:jc w:val="both"/>
    </w:pPr>
    <w:rPr>
      <w:rFonts w:ascii="Courier New" w:hAnsi="Courier New"/>
    </w:rPr>
  </w:style>
  <w:style w:type="paragraph" w:styleId="P6">
    <w:name w:val="Sangría 2 de t. independiente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Sangría 3 de t. independiente"/>
    <w:basedOn w:val="P0"/>
    <w:next w:val="P7"/>
    <w:pPr>
      <w:ind w:left="748"/>
      <w:jc w:val="both"/>
    </w:pPr>
    <w:rPr>
      <w:rFonts w:ascii="Courier New" w:hAnsi="Courier New"/>
      <w:b w:val="1"/>
    </w:rPr>
  </w:style>
  <w:style w:type="paragraph" w:styleId="P8">
    <w:name w:val="Encabezado"/>
    <w:basedOn w:val="P0"/>
    <w:next w:val="P8"/>
    <w:pPr>
      <w:tabs>
        <w:tab w:val="center" w:pos="4252" w:leader="none"/>
        <w:tab w:val="right" w:pos="8504" w:leader="none"/>
      </w:tabs>
    </w:pPr>
    <w:rPr/>
  </w:style>
  <w:style w:type="paragraph" w:styleId="P9">
    <w:name w:val="Texto independiente 2"/>
    <w:basedOn w:val="P0"/>
    <w:next w:val="P9"/>
    <w:pPr/>
    <w:rPr>
      <w:rFonts w:ascii="Arial" w:hAnsi="Arial"/>
      <w:b w:val="1"/>
      <w:sz w:val="28"/>
    </w:rPr>
  </w:style>
  <w:style w:type="paragraph" w:styleId="P10">
    <w:name w:val="Texto independiente 3"/>
    <w:basedOn w:val="P0"/>
    <w:next w:val="P10"/>
    <w:pPr>
      <w:jc w:val="both"/>
    </w:pPr>
    <w:rPr>
      <w:rFonts w:ascii="Courier New" w:hAnsi="Courier New"/>
      <w:b w:val="1"/>
    </w:rPr>
  </w:style>
  <w:style w:type="paragraph" w:styleId="P11">
    <w:name w:val="Título"/>
    <w:basedOn w:val="P0"/>
    <w:next w:val="P11"/>
    <w:qFormat/>
    <w:pPr>
      <w:jc w:val="center"/>
    </w:pPr>
    <w:rPr>
      <w:rFonts w:ascii="Courier New" w:hAnsi="Courier New"/>
      <w:b w:val="1"/>
      <w:u w:val="single"/>
    </w:rPr>
  </w:style>
  <w:style w:type="paragraph" w:styleId="P12">
    <w:name w:val="Texto nota pie"/>
    <w:basedOn w:val="P0"/>
    <w:next w:val="P12"/>
    <w:link w:val="C4"/>
    <w:pPr/>
    <w:rPr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nota pie Car"/>
    <w:link w:val="P12"/>
    <w:rPr>
      <w:sz w:val="20"/>
    </w:rPr>
  </w:style>
  <w:style w:type="character" w:styleId="C5">
    <w:name w:val="Ref. de nota al pie"/>
    <w:rPr>
      <w:vertAlign w:val="superscript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2009-05-01T00:22:00Z</dcterms:created>
  <cp:lastModifiedBy>Ethan Puglia</cp:lastModifiedBy>
  <cp:lastPrinted>2009-04-27T22:36:00Z</cp:lastPrinted>
  <dcterms:modified xsi:type="dcterms:W3CDTF">2019-03-28T17:34:12Z</dcterms:modified>
  <cp:revision>16</cp:revision>
  <dc:title>PROYECTO DE ORDENANZA VIOLENCIA FAMILIAR</dc:title>
</cp:coreProperties>
</file>