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0038AC" Type="http://schemas.openxmlformats.org/officeDocument/2006/relationships/officeDocument" Target="/word/document.xml" /><Relationship Id="coreR640038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8382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El Expediente Nº 1055/02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7"/>
        <w:ind w:firstLine="0" w:left="561"/>
      </w:pPr>
      <w:r>
        <w:t>Que el mismo es iniciado por la Sra. Liliana Elsa Fernández solicitando exención de deuda y reducción de Tasa por Servicios a la Propiedad;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>Que el relevamiento Socioeconómico y Ambiental noticia que se trata de un grupo familiar que no dispone de recursos suficientes para sobrellevar sus necesidades básicas;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 xml:space="preserve">Que oportunamente y mediante Ordenanza Nº 6305 se concedió los beneficios establecidos en los extremos  de la Ordenanza Nº 5485;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 xml:space="preserve">Que nuevamente y por nota, a Fs. 26, solicita eximición por encontrarse sin trabajo, con problemas de salud y solo percibe el seguro por desempleo;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>la deuda que en concepto de Tasa por Servicios a la Propiedad mantiene a la fecha de promulgación de la presente, el inmueble Designación Catastral 01-01-177-048-002.-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FIJAR </w:t>
      </w:r>
      <w:r>
        <w:rPr>
          <w:rStyle w:val="C3"/>
          <w:rFonts w:ascii="Courier New" w:hAnsi="Courier New"/>
        </w:rPr>
        <w:t xml:space="preserve">como cuota mensual a abonar en concepto de Tasa por Servicios a la Propiedad desde la promulgación de la presente  Ordenanza  y  hasta el 31 de Diciembre de 2010 inclusive, la suma de PESOS QUINCE ($ 15.-), al inmueble Designación Catastral 01-01-177-048-002.-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EN </w:t>
      </w:r>
      <w:r>
        <w:rPr>
          <w:rStyle w:val="C3"/>
          <w:rFonts w:ascii="Courier New" w:hAnsi="Courier New"/>
        </w:rPr>
        <w:t>caso de transferencia del inmueble Designación Catastral 01-01-177-048-002 los beneficios otorgados en la presente Ordenanza quedarán sin efecto en forma automática.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2009-05-15T04:01:00Z</dcterms:created>
  <cp:lastModifiedBy>Ethan Puglia</cp:lastModifiedBy>
  <cp:lastPrinted>2009-05-27T03:54:00Z</cp:lastPrinted>
  <dcterms:modified xsi:type="dcterms:W3CDTF">2019-03-28T17:34:12Z</dcterms:modified>
  <cp:revision>9</cp:revision>
  <dc:title>PROYECTO DE ORDENANZA VIOLENCIA FAMILIAR</dc:title>
</cp:coreProperties>
</file>