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2DB52F4" Type="http://schemas.openxmlformats.org/officeDocument/2006/relationships/officeDocument" Target="/word/document.xml" /><Relationship Id="coreR62DB52F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8387</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2"/>
        <w:ind w:hanging="567" w:left="567"/>
        <w:jc w:val="both"/>
        <w:rPr>
          <w:rStyle w:val="C3"/>
          <w:b w:val="1"/>
          <w:u w:val="none"/>
        </w:rPr>
      </w:pPr>
      <w:r>
        <w:rPr>
          <w:rStyle w:val="C3"/>
          <w:b w:val="0"/>
          <w:u w:val="none"/>
        </w:rPr>
        <w:t xml:space="preserve">Visto: </w:t>
      </w:r>
      <w:r>
        <w:rPr>
          <w:rStyle w:val="C3"/>
          <w:b w:val="0"/>
          <w:u w:val="none"/>
        </w:rPr>
        <w:t>El Exp</w:t>
      </w:r>
      <w:r>
        <w:rPr>
          <w:rStyle w:val="C3"/>
          <w:b w:val="0"/>
          <w:u w:val="none"/>
        </w:rPr>
        <w:t>edien</w:t>
      </w:r>
      <w:r>
        <w:rPr>
          <w:rStyle w:val="C3"/>
          <w:b w:val="0"/>
          <w:u w:val="none"/>
        </w:rPr>
        <w:t>te</w:t>
      </w:r>
      <w:r>
        <w:rPr>
          <w:rStyle w:val="C3"/>
          <w:b w:val="0"/>
          <w:u w:val="none"/>
        </w:rPr>
        <w:t xml:space="preserve"> N° 1522/08, iniciado por Pereyra, Mario H.</w:t>
      </w:r>
      <w:r>
        <w:rPr>
          <w:rStyle w:val="C3"/>
          <w:b w:val="0"/>
          <w:u w:val="none"/>
        </w:rPr>
        <w:t xml:space="preserve">; y </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Pr>
        <w:ind w:left="561"/>
        <w:jc w:val="both"/>
        <w:rPr>
          <w:rStyle w:val="C3"/>
          <w:rFonts w:ascii="Courier New" w:hAnsi="Courier New"/>
        </w:rPr>
      </w:pPr>
      <w:r>
        <w:rPr>
          <w:rStyle w:val="C3"/>
          <w:rFonts w:ascii="Courier New" w:hAnsi="Courier New"/>
        </w:rPr>
        <w:t>Que en el mismo se solicita se autorice la instalación en los inmuebles Designación Catastral 1-1-101-5, 23, 24 y 25, ubicado en Av. Belgrano 131 de nuestra Ciudad, de un comercio bajo los rubros Bar con espectáculos, Juegos y Bowgling, sin el cumplimiento del Art. 231 “De los Usos” de la Ordenanza N° 1294 (Código de Edificación y Urbanización de Alta Gracia);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8 vta. el Área de Obras Privadas informa que en las parcelas 23 y 24, existe superficie edificada que no está declarada como tal;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11 a 32 consta estudio e informe de profesional idóneo sobre las medidas de seguridad que deberán ser contempladas en comercios de estas características;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8 vta. el Área de Planeamiento emite opinión favorable respecto de la habilitación solicitada;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Ordenanza N° 7164 (Código de Espectáculos Públicos de Alta Gracia) en su Art. 23, contempla la figura de Bar Nocturno con Espectáculos, dentro del cual queda expresamente establecido la imposibilidad de realizar bailes en el lugar;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visitado el lugar por la Comisión de Obras y Servicios Públicos se observó el cumplimiento de las medidas de seguridad e higiene y de buenas condiciones en general del local, situación que deberá seguir siendo exigida en adelante por los órganos de control;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35 la Secretaría General y de Coordinación Administración con su Área de Coordinación de la Gestión Administrativa, opinan que los rubros de esparcimiento se orientan en el sentido de generación de actividades que motiven y atraigan al turismo a permanecer en la Ciudad, tal cual lo expresa la Ordenanza N° 8154 (Regulación del Uso de los inmuebles frentistas a la Plaza Solares);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38, consta la adhesión a un servicio de emergencias local, con cobertura de atencion de emergencias y urgencias médicas que debe ser renovada mensualmente;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41 y 42, constan comprobantes de contratación de seguro de comercio e industria con coberturas detalladas;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43 a 47, consta contrato de locación del local en cuestión; </w:t>
      </w:r>
    </w:p>
    <w:p>
      <w:pPr>
        <w:pStyle w:val="P6"/>
        <w:rPr>
          <w:rStyle w:val="C3"/>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20 de Mayo de 2009;</w:t>
      </w:r>
    </w:p>
    <w:p>
      <w:pPr>
        <w:jc w:val="both"/>
        <w:rPr>
          <w:rStyle w:val="C3"/>
          <w:rFonts w:ascii="Courier New" w:hAnsi="Courier New"/>
        </w:rPr>
      </w:pPr>
    </w:p>
    <w:p>
      <w:pPr>
        <w:jc w:val="both"/>
        <w:rPr>
          <w:rStyle w:val="C3"/>
          <w:rFonts w:ascii="Courier New" w:hAnsi="Courier New"/>
        </w:rPr>
      </w:pPr>
    </w:p>
    <w:p>
      <w:pPr>
        <w:ind w:left="561"/>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ind w:left="561"/>
        <w:jc w:val="both"/>
        <w:rPr>
          <w:rStyle w:val="C3"/>
          <w:rFonts w:ascii="Courier New" w:hAnsi="Courier New"/>
        </w:rPr>
      </w:pPr>
    </w:p>
    <w:p>
      <w:pPr>
        <w:ind w:left="561"/>
        <w:jc w:val="both"/>
        <w:rPr>
          <w:rStyle w:val="C3"/>
          <w:rFonts w:ascii="Courier New" w:hAnsi="Courier New"/>
        </w:rPr>
      </w:pPr>
    </w:p>
    <w:p>
      <w:pPr>
        <w:pStyle w:val="P6"/>
        <w:ind w:hanging="561" w:left="561"/>
        <w:rPr>
          <w:rStyle w:val="C3"/>
          <w:b w:val="1"/>
          <w:u w:val="single"/>
        </w:rPr>
      </w:pPr>
    </w:p>
    <w:p>
      <w:pPr>
        <w:pStyle w:val="P6"/>
        <w:ind w:hanging="561" w:left="561"/>
      </w:pPr>
      <w:r>
        <w:rPr>
          <w:rStyle w:val="C3"/>
          <w:b w:val="1"/>
          <w:u w:val="single"/>
        </w:rPr>
        <w:t>Art.1</w:t>
      </w:r>
      <w:r>
        <w:rPr>
          <w:rStyle w:val="C3"/>
          <w:b w:val="1"/>
        </w:rPr>
        <w:t>:</w:t>
      </w:r>
      <w:r>
        <w:t xml:space="preserve"> </w:t>
      </w:r>
      <w:r>
        <w:rPr>
          <w:rStyle w:val="C3"/>
          <w:b w:val="1"/>
        </w:rPr>
        <w:t>AUTORIZAR</w:t>
      </w:r>
      <w:r>
        <w:t xml:space="preserve"> al Sr. Pereyra, Mario a la instalación en los inmuebles Designación Catastral 1-1-101-5, 23, 24 y 25, ubicado en Av. Belgrano 131 de nuestra Ciudad, de un comercio bajo los rubros Bar con Espectáculos, Juegos y Bowgling, sin el cumplimiento del Art. 231 “De los Usos” de la Ordenanza N° 1294 (Código de Edificación y Urbanización de Alta Gracia).-</w:t>
      </w:r>
    </w:p>
    <w:p>
      <w:pPr>
        <w:pStyle w:val="P6"/>
        <w:ind w:hanging="561" w:left="561"/>
        <w:rPr>
          <w:rStyle w:val="C3"/>
          <w:b w:val="1"/>
          <w:u w:val="single"/>
        </w:rPr>
      </w:pPr>
    </w:p>
    <w:p>
      <w:pPr>
        <w:pStyle w:val="P6"/>
        <w:ind w:hanging="561" w:left="561"/>
        <w:jc w:val="right"/>
      </w:pPr>
      <w:r>
        <w:t>...///</w:t>
      </w:r>
    </w:p>
    <w:p>
      <w:pPr>
        <w:pStyle w:val="P6"/>
        <w:ind w:hanging="561" w:left="561"/>
      </w:pPr>
    </w:p>
    <w:p>
      <w:pPr>
        <w:pStyle w:val="P6"/>
        <w:ind w:hanging="561" w:left="561"/>
      </w:pPr>
    </w:p>
    <w:p>
      <w:pPr>
        <w:pStyle w:val="P6"/>
        <w:ind w:hanging="561" w:left="561"/>
      </w:pPr>
    </w:p>
    <w:p>
      <w:pPr>
        <w:pStyle w:val="P6"/>
        <w:ind w:hanging="561" w:left="561"/>
      </w:pPr>
    </w:p>
    <w:p>
      <w:pPr>
        <w:pStyle w:val="P6"/>
        <w:ind w:hanging="561" w:left="561"/>
      </w:pPr>
    </w:p>
    <w:p>
      <w:pPr>
        <w:pStyle w:val="P6"/>
        <w:ind w:hanging="561" w:left="561"/>
      </w:pPr>
    </w:p>
    <w:p>
      <w:pPr>
        <w:pStyle w:val="P6"/>
        <w:ind w:hanging="561" w:left="561"/>
      </w:pPr>
    </w:p>
    <w:p>
      <w:pPr>
        <w:pStyle w:val="P6"/>
        <w:ind w:left="0"/>
      </w:pPr>
      <w:r>
        <w:t>...///3.-</w:t>
      </w:r>
    </w:p>
    <w:p>
      <w:pPr>
        <w:pStyle w:val="P6"/>
        <w:ind w:left="561"/>
      </w:pPr>
    </w:p>
    <w:p>
      <w:pPr>
        <w:pStyle w:val="P6"/>
        <w:ind w:left="561"/>
      </w:pPr>
      <w:r>
        <w:rPr>
          <w:rStyle w:val="C3"/>
          <w:b w:val="1"/>
          <w:u w:val="single"/>
        </w:rPr>
        <w:t>Art.2</w:t>
      </w:r>
      <w:r>
        <w:rPr>
          <w:rStyle w:val="C3"/>
          <w:b w:val="1"/>
        </w:rPr>
        <w:t>:</w:t>
      </w:r>
      <w:r>
        <w:t xml:space="preserve"> DEBERÁ el solicitante regularizar lo manifestado por el Área de Obras Privadas a Fs. 8 vta. respecto de una superficie edificada no declarada.-  </w:t>
      </w:r>
    </w:p>
    <w:p>
      <w:pPr>
        <w:pStyle w:val="P6"/>
        <w:ind w:hanging="561" w:left="561"/>
        <w:rPr>
          <w:rStyle w:val="C3"/>
          <w:b w:val="1"/>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r>
        <w:rPr>
          <w:rStyle w:val="C3"/>
          <w:rFonts w:ascii="Courier New" w:hAnsi="Courier New"/>
        </w:rPr>
        <w:t xml:space="preserve">                                                               </w:t>
      </w:r>
    </w:p>
    <w:p>
      <w:pPr>
        <w:pStyle w:val="P11"/>
      </w:pPr>
      <w:r>
        <w:t>DADA EN LA SALA DE SESIONES DEL HONORABLE CONCEJO DELIBERANTE A LOS VEINTE DIAS DEL MES DE MAYO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
  </w:num>
  <w:num w:numId="2">
    <w:abstractNumId w:val="3"/>
  </w:num>
  <w:num w:numId="3">
    <w:abstractNumId w:val="0"/>
  </w:num>
  <w:num w:numId="4">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exto independiente"/>
    <w:basedOn w:val="P0"/>
    <w:next w:val="P5"/>
    <w:pPr>
      <w:jc w:val="both"/>
    </w:pPr>
    <w:rPr>
      <w:rFonts w:ascii="Courier New" w:hAnsi="Courier New"/>
    </w:rPr>
  </w:style>
  <w:style w:type="paragraph" w:styleId="P6">
    <w:name w:val="Sangría de t. independiente"/>
    <w:basedOn w:val="P0"/>
    <w:next w:val="P6"/>
    <w:pPr>
      <w:ind w:left="748"/>
      <w:jc w:val="both"/>
    </w:pPr>
    <w:rPr>
      <w:rFonts w:ascii="Courier New" w:hAnsi="Courier New"/>
    </w:rPr>
  </w:style>
  <w:style w:type="paragraph" w:styleId="P7">
    <w:name w:val="Sangría 2 de t. independiente"/>
    <w:basedOn w:val="P0"/>
    <w:next w:val="P7"/>
    <w:pPr>
      <w:ind w:hanging="748" w:left="748"/>
      <w:jc w:val="both"/>
    </w:pPr>
    <w:rPr>
      <w:rFonts w:ascii="Courier New" w:hAnsi="Courier New"/>
    </w:rPr>
  </w:style>
  <w:style w:type="paragraph" w:styleId="P8">
    <w:name w:val="Sangría 3 de t. independiente"/>
    <w:basedOn w:val="P0"/>
    <w:next w:val="P8"/>
    <w:pPr>
      <w:ind w:left="748"/>
      <w:jc w:val="both"/>
    </w:pPr>
    <w:rPr>
      <w:rFonts w:ascii="Courier New" w:hAnsi="Courier New"/>
      <w:b w:val="1"/>
    </w:rPr>
  </w:style>
  <w:style w:type="paragraph" w:styleId="P9">
    <w:name w:val="Encabezado"/>
    <w:basedOn w:val="P0"/>
    <w:next w:val="P9"/>
    <w:pPr>
      <w:tabs>
        <w:tab w:val="center" w:pos="4252" w:leader="none"/>
        <w:tab w:val="right" w:pos="8504" w:leader="none"/>
      </w:tabs>
    </w:pPr>
    <w:rPr/>
  </w:style>
  <w:style w:type="paragraph" w:styleId="P10">
    <w:name w:val="Texto independiente 2"/>
    <w:basedOn w:val="P0"/>
    <w:next w:val="P10"/>
    <w:pPr/>
    <w:rPr>
      <w:rFonts w:ascii="Arial" w:hAnsi="Arial"/>
      <w:b w:val="1"/>
      <w:sz w:val="28"/>
    </w:rPr>
  </w:style>
  <w:style w:type="paragraph" w:styleId="P11">
    <w:name w:val="Texto independiente 3"/>
    <w:basedOn w:val="P0"/>
    <w:next w:val="P11"/>
    <w:pPr>
      <w:jc w:val="both"/>
    </w:pPr>
    <w:rPr>
      <w:rFonts w:ascii="Courier New" w:hAnsi="Courier New"/>
      <w:b w:val="1"/>
    </w:rPr>
  </w:style>
  <w:style w:type="paragraph" w:styleId="P12">
    <w:name w:val="Título"/>
    <w:basedOn w:val="P0"/>
    <w:next w:val="P12"/>
    <w:pPr>
      <w:jc w:val="center"/>
    </w:pPr>
    <w:rPr>
      <w:rFonts w:ascii="Courier New" w:hAnsi="Courier New"/>
      <w:b w:val="1"/>
      <w:u w:val="single"/>
    </w:rPr>
  </w:style>
  <w:style w:type="paragraph" w:styleId="P13">
    <w:name w:val="Normal (Web)"/>
    <w:basedOn w:val="P0"/>
    <w:next w:val="P13"/>
    <w:pPr>
      <w:spacing w:before="100" w:after="100"/>
    </w:pPr>
    <w:rPr/>
  </w:style>
  <w:style w:type="paragraph" w:styleId="P14">
    <w:name w:val="Texto sin formato"/>
    <w:basedOn w:val="P0"/>
    <w:next w:val="P14"/>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2009-05-26T23:21:00Z</dcterms:created>
  <cp:lastModifiedBy>Ethan Puglia</cp:lastModifiedBy>
  <cp:lastPrinted>2009-05-16T00:53:00Z</cp:lastPrinted>
  <dcterms:modified xsi:type="dcterms:W3CDTF">2019-03-28T17:34:12Z</dcterms:modified>
  <cp:revision>8</cp:revision>
  <dc:title>PROYECTO DE ORDENANZA VIOLENCIA FAMILIAR</dc:title>
</cp:coreProperties>
</file>