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0D7569" Type="http://schemas.openxmlformats.org/officeDocument/2006/relationships/officeDocument" Target="/word/document.xml" /><Relationship Id="coreR650D75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8396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disminución del poder adquisitivo de la moneda no es ajena a las remuneraciones que perciben los trabajadores del Estado Municipal de la ciudad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afecta en mayor medida a quienes dependen de ingresos fijos y no pueden acomodar su situación al nivel general de precios de la economía de manera inmediata;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también atraviesa idéntica situación pues sus ingresos tampoco pueden ajustarse de manera inmediata a este cambio en el poder adquisitivo de la moneda, atento a que dependen de la recaudación propia - cuya ordenanza tarifaria absorbió dos ejercicios económicos sin incrementos tributarios -, y de la coparticipación impositiva que no ha sido beneficiada con incremento de ninguna naturaleza;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financiera mundial se ha trasladado al mercado de bienes con una contundencia pocas veces vista, sumado esto a la caída de la producción y del empleo que generó el conflicto del sector agropecuario en nuestro país;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con el SI.TRA.M.A.G. a un acuerdo con el fin de incorporar un incremento salarial al sueldo básico de todo el personal bajo el ámbito de aplicación de la Ordenanza Nº 2147 y Decreto N° 208/91 y sus modificatorias “Estatuto y Reglamento del Empleado Municipal”, de PESOS  CINCUENTA  ($ 50,oo)   en  cada  uno  de  los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meses que se detallan a continuación: Junio, Julio, Agosto y Setiembre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generar un efecto inmediato en los ingresos de bolsillo que perciben los trabajadores de la Municipalidad de la ciudad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vista de ello, esta Administración Municipal considera apropiado otorgar como adelanto una suma fija de PESOS DOSCIENTOS ($ 200,oo)- para el mes de Mayo; de PESOS CIENTO CINCUENTA ($ 150,oo)- para el mes de Junio; de PESOS CIEN ($ 100,oo)- para el mes de Julio y de PESOS CINCUENTA ($ 50,oo)- para el mes de Agosto de 2.009, a todo el personal bajo el ámbito de aplicación de la Ordenanza Nº 2147 y Decreto N° 208/91 y sus modificatorias “Estatuto y Reglamento del Empleado Municipal”;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menester amortiguar el impacto de este incremento salarial para no afectar sustancialmente la prestación de servicios y la consecución de las obras iniciadas o proyectadas por la actual administración;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presente incremento,  teniendo en cuenta los considerandos anteriores, plantea la necesidad de suspender la aplicación del Art.56° y su Anexo I de la Ordenanza Nº 3519;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contexto es preciso condicionar la próxima discusión salarial a partir de la finalización del segundo semestre del año 2009 y en función a los aumentos de salarios que otorgue el Gobierno Nacional compatibilizados con el comportamiento de la recaudación, propia y por coparticipación, de la Municipalidad de la ciudad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el mismo emite despacho favorable, aprobado por mayoría, en Sesión Ordinaria del día 03 de Junio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FACÚLTASE</w:t>
      </w:r>
      <w:r>
        <w:rPr>
          <w:rStyle w:val="C3"/>
          <w:rFonts w:ascii="Courier New" w:hAnsi="Courier New"/>
        </w:rPr>
        <w:t xml:space="preserve"> al Departamento Ejecutivo a otorgar adelantos a cuenta del incremento salarial a incorporar al sueldo básico de todo el personal bajo el ámbito de aplicación de la Ordenanza Nº 2147 y Decreto 208/91 y sus modificatorias “Estatuto y Reglamento del Empleado Municipal”, según el siguiente detalle: la suma fija de PESOS DOSCIENTOS ($ 200,oo) - para el mes de Mayo, a cuenta del incremento de los meses de Junio, Julio, Agosto y Setiembre de 2009.-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SUSPÉNDASE</w:t>
      </w:r>
      <w:r>
        <w:rPr>
          <w:rStyle w:val="C3"/>
          <w:rFonts w:ascii="Courier New" w:hAnsi="Courier New"/>
        </w:rPr>
        <w:t xml:space="preserve"> la aplicación del art.56° y su Anexo I de la Ordenanza Nº 3519, y condiciónase la próxima discusión salarial a partir de la finalización del segundo semestre del año 2009 y en función de los aumentos de salarios que otorgue el Gobierno Nacional compatibilizados con el comportamiento de la recaudación – propia y/o por coparticipación - del Estado Municipal de la ciudad de Alta Gracia, en aras de preservar su equilibrio presupuestario y financiero.-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2009-06-05T02:27:00Z</dcterms:created>
  <cp:lastModifiedBy>Ethan Puglia</cp:lastModifiedBy>
  <cp:lastPrinted>2009-06-05T01:57:00Z</cp:lastPrinted>
  <dcterms:modified xsi:type="dcterms:W3CDTF">2019-03-28T17:34:12Z</dcterms:modified>
  <cp:revision>6</cp:revision>
  <dc:title>PROYECTO DE ORDENANZA VIOLENCIA FAMILIAR</dc:title>
</cp:coreProperties>
</file>