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AE9F82" Type="http://schemas.openxmlformats.org/officeDocument/2006/relationships/officeDocument" Target="/word/document.xml" /><Relationship Id="coreR79AE9F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8398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9"/>
      </w:pPr>
      <w:r>
        <w:t>Que la disminución del poder adquisitivo de la moneda no es ajena a las remuneraciones que perciben los trabajadores del Estado Municipal de la ciudad de Alta Gracia.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8"/>
        <w:ind w:left="748"/>
      </w:pPr>
      <w:r>
        <w:t>Que esta desvalorización de la moneda afecta en mayor medida a quienes dependen de ingresos fijos y no pueden acomodar su situación al nivel general de precios de la economía de manera inmediata;</w:t>
      </w:r>
    </w:p>
    <w:p>
      <w:pPr>
        <w:pStyle w:val="P8"/>
        <w:ind w:left="748"/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también atraviesa idéntica situación pues sus ingresos tampoco pueden ajustarse de manera inmediata a este cambio en el poder adquisitivo de la moneda atento a que dependen de la recaudación propia, cuya ordenanza tarifaria absorbió dos ejercicios económicos sin incrementos tributarios, y de la coparticipación impositiva que no ha sido beneficiada con incremento de ninguna naturaleza;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financiera mundial se ha trasladado al mercado de bienes con una contundencia pocas veces vista, sumado esto a la caída de la producción y del empleo que generó el conflicto del sector agropecuario en nuestro país;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menester amortiguar el impacto de este incremento salarial para no afectar sustancialmente la prestación de servicios y la consecución de las obras iniciadas o proyectadas por la actual administración;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con el SI.TRA.M.A.G a un acuerdo con el fin de incorporar un incremento salarial al sueldo básico de todo el personal bajo el ámbito de aplicación de la Ordenanza Nº 2147 y Decreto 208/91 y sus modificatorias “Estatuto y Reglamento del Empleado Municipal”, de PESOS CINCUENTA ($ 50,oo) en cada uno de los meses que se detallan a continuación: Junio, Julio, Agosto y Setiembre de 2009;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Comisión, el mismo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</w:rPr>
        <w:t>OTÓRGASE un incremento de haberes de PESOS CINCUENTA ($ 50,oo) que se incorporará al sueldo básico como suma fija para el período Julio de 2009, a todo el personal bajo el ámbito de aplicación de la Ordenanza Nº 2147 y Decreto N° 208/91 y sus modificatorias “Estatuto y Reglamento del Empleado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2009-06-05T02:48:00Z</dcterms:created>
  <cp:lastModifiedBy>Ethan Puglia</cp:lastModifiedBy>
  <cp:lastPrinted>2009-06-09T03:50:00Z</cp:lastPrinted>
  <dcterms:modified xsi:type="dcterms:W3CDTF">2019-03-28T17:34:12Z</dcterms:modified>
  <cp:revision>6</cp:revision>
  <dc:title>PROYECTO DE ORDENANZA VIOLENCIA FAMILIAR</dc:title>
</cp:coreProperties>
</file>