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5B66E43" Type="http://schemas.openxmlformats.org/officeDocument/2006/relationships/officeDocument" Target="/word/document.xml" /><Relationship Id="coreR35B66E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 xml:space="preserve">ORDENANZA  N° 8410</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Visto: La necesidad de atender la demanda habitacional de la Municipalidad de Alta Gracia de acuerdo con las solicitudes presentadas por nuestros vecinos; y </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resulta prioritario dar respuestas inmediatas a este tipo de problema atento a la entidad de los mismos;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Subsecretaria de la Vivienda, ha implementado una serie de operatorias financiadas con recursos de la Nación que posibilitan a los Municipios y Comunas de la Provincia de Córdoba, ha obtener los recursos necesarios para atender la demanda habitacional de cada jurisdicción, de acuerdo con los cupos que integran la programación anual de la citada repartición provincial;</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 Sr. Intendente Municipal ha solicitado a la Subsecretaria de la Vivienda la construcción de setenta (70) viviendas en el marco del programa “RECONVERSION DEL PROGRAMA FEDERAL PLURIANUAL DE CONSTRUCCIÓN DE VIVIENDAS” por la suma de PESOS CINCO MILLONES SEISCIENTOS MIL ($5.600.000);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Ordinaria del día 03 de Junio de 2009;</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u w:val="single"/>
        </w:rPr>
      </w:pPr>
    </w:p>
    <w:p>
      <w:pPr>
        <w:jc w:val="both"/>
        <w:rPr>
          <w:rStyle w:val="C3"/>
          <w:rFonts w:ascii="Courier New" w:hAnsi="Courier New"/>
          <w:u w:val="single"/>
        </w:rPr>
      </w:pP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...///2.-</w:t>
      </w:r>
    </w:p>
    <w:p>
      <w:pPr>
        <w:rPr>
          <w:rStyle w:val="C3"/>
          <w:rFonts w:ascii="Courier New" w:hAnsi="Courier New"/>
        </w:rPr>
      </w:pPr>
    </w:p>
    <w:p>
      <w:pPr>
        <w:pStyle w:val="P12"/>
        <w:tabs>
          <w:tab w:val="clear" w:pos="4252" w:leader="none"/>
          <w:tab w:val="clear" w:pos="8504" w:leader="none"/>
        </w:tabs>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AUTORIZASE</w:t>
      </w:r>
      <w:r>
        <w:rPr>
          <w:rStyle w:val="C3"/>
          <w:rFonts w:ascii="Courier New" w:hAnsi="Courier New"/>
        </w:rPr>
        <w:t xml:space="preserve"> al Departamento Ejecutivo, a suscribir con la Subsecretaria de la Vivienda la solicitud de financiamiento respectivo para la construcción de setenta (70) viviendas, la que asciende a la suma de Pesos CINCO MILLONES SEISCIENTOS MIL ($5.600.000.-), mas los intereses y gastos que demande tal financiación.- </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color w:val="FFFFFF"/>
        </w:rPr>
        <w:t>v</w:t>
      </w:r>
      <w:r>
        <w:rPr>
          <w:rStyle w:val="C3"/>
          <w:rFonts w:ascii="Courier New" w:hAnsi="Courier New"/>
          <w:b w:val="1"/>
        </w:rPr>
        <w:t>COMPROMÉTANSE</w:t>
      </w:r>
      <w:r>
        <w:rPr>
          <w:rStyle w:val="C3"/>
          <w:rFonts w:ascii="Courier New" w:hAnsi="Courier New"/>
        </w:rPr>
        <w:t xml:space="preserve"> los fondos provenientes de la coparticipación impositiva provincial como garantía de cumplimiento del pago del financiamiento otorgado en consecuencia de la construcción de las viviendas.-</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hacer efectiva la garantía dispuesta por el articulo anterior, otórguese Poder Especial a favor de la Contaduría General de la Provincia, a fin de que a pedido de la Subsecretaria de la Vivienda, proceda a retener de los fondos coparticipables, los montos que correspondan hasta las sumas comprometidas.-</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SIN</w:t>
      </w:r>
      <w:r>
        <w:rPr>
          <w:rStyle w:val="C3"/>
          <w:rFonts w:ascii="Courier New" w:hAnsi="Courier New"/>
        </w:rPr>
        <w:t xml:space="preserve"> perjuicio de lo dispuesto en el Articulo 1°, el Departamento Ejecutivo Municipal quedará facultado para suscribir los instrumentos y demás documentación que fuera menester a fin de dar cumplimiento a la presente Ordenanza.-</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LOS TRES DIAS DEL MES DE JUNIO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2009-06-10T02:05:00Z</dcterms:created>
  <cp:lastModifiedBy>Ethan Puglia</cp:lastModifiedBy>
  <cp:lastPrinted>2009-06-10T02:36:00Z</cp:lastPrinted>
  <dcterms:modified xsi:type="dcterms:W3CDTF">2019-03-28T17:34:12Z</dcterms:modified>
  <cp:revision>9</cp:revision>
  <dc:title>PROYECTO DE ORDENANZA VIOLENCIA FAMILIAR</dc:title>
</cp:coreProperties>
</file>