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2A2D3AF" Type="http://schemas.openxmlformats.org/officeDocument/2006/relationships/officeDocument" Target="/word/document.xml" /><Relationship Id="coreR12A2D3A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u w:val="single"/>
        </w:rPr>
      </w:pPr>
    </w:p>
    <w:p>
      <w:pPr>
        <w:jc w:val="both"/>
        <w:rPr>
          <w:rStyle w:val="C3"/>
          <w:rFonts w:ascii="Courier New" w:hAnsi="Courier New"/>
          <w:u w:val="single"/>
        </w:rPr>
      </w:pPr>
    </w:p>
    <w:p>
      <w:pPr>
        <w:pStyle w:val="P4"/>
        <w:rPr>
          <w:rStyle w:val="C3"/>
        </w:rPr>
      </w:pPr>
    </w:p>
    <w:p>
      <w:pPr>
        <w:pStyle w:val="P4"/>
      </w:pPr>
      <w:r>
        <w:t xml:space="preserve">ORDENANZA  N° 8415</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Visto: El Expediente N° 287/08 iniciado por Mitrano Mariella, solicitando la donación de lote; y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2"/>
      </w:pPr>
      <w:r>
        <w:t>C O N S I D E R A N D O</w:t>
      </w:r>
    </w:p>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Mitrano Mariella solicitó el lote Designación Catastral 04-02-206-012 de B° La Perla;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Mitrano Mariella reúne los requisitos para ser beneficiaria, según consta en el informe Socioeconómico y Ambiental obrante a Fs.4 suscripto por la Lic. Flavia Virga M.P 1722;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del informe elaborando por la Dirección de la Vivienda, surge que el lote Designación Catastral 04-02-206-012, de B° La Perla se encuentra con crecimiento de yuyos y malezas, sin alambrado sobre línea Municipal y sin conexiones de servicios;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el referido informe establece que el lote de referencia pertenece a la donación efectuada por los Sres. Rodríguez Jorge y Merini de Rodríguez Mercedes por Ordenanza N° 1720  a la Municipalidad de Alta Gracia y aceptada por Ordenanza N° 6644;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17 de Junio de 2009;</w:t>
      </w:r>
    </w:p>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u w:val="single"/>
        </w:rPr>
      </w:pPr>
    </w:p>
    <w:p>
      <w:pPr>
        <w:pStyle w:val="P12"/>
        <w:tabs>
          <w:tab w:val="clear" w:pos="4252" w:leader="none"/>
          <w:tab w:val="clear" w:pos="8504" w:leader="none"/>
        </w:tabs>
        <w:rPr>
          <w:rStyle w:val="C3"/>
          <w:rFonts w:ascii="Courier New" w:hAnsi="Courier New"/>
        </w:rPr>
      </w:pPr>
    </w:p>
    <w:p>
      <w:pPr>
        <w:pStyle w:val="P12"/>
        <w:tabs>
          <w:tab w:val="clear" w:pos="4252" w:leader="none"/>
          <w:tab w:val="clear" w:pos="8504" w:leader="none"/>
        </w:tabs>
        <w:jc w:val="right"/>
        <w:rPr>
          <w:rStyle w:val="C3"/>
          <w:rFonts w:ascii="Courier New" w:hAnsi="Courier New"/>
        </w:rPr>
      </w:pPr>
      <w:r>
        <w:rPr>
          <w:rStyle w:val="C3"/>
          <w:rFonts w:ascii="Courier New" w:hAnsi="Courier New"/>
        </w:rPr>
        <w:t>...///</w:t>
      </w:r>
    </w:p>
    <w:p>
      <w:pPr>
        <w:pStyle w:val="P12"/>
        <w:tabs>
          <w:tab w:val="clear" w:pos="4252" w:leader="none"/>
          <w:tab w:val="clear" w:pos="8504" w:leader="none"/>
        </w:tabs>
        <w:rPr>
          <w:rStyle w:val="C3"/>
          <w:rFonts w:ascii="Courier New" w:hAnsi="Courier New"/>
        </w:rPr>
      </w:pPr>
    </w:p>
    <w:p>
      <w:pPr>
        <w:pStyle w:val="P12"/>
        <w:tabs>
          <w:tab w:val="clear" w:pos="4252" w:leader="none"/>
          <w:tab w:val="clear" w:pos="8504" w:leader="none"/>
        </w:tabs>
        <w:rPr>
          <w:rStyle w:val="C3"/>
          <w:rFonts w:ascii="Courier New" w:hAnsi="Courier New"/>
        </w:rPr>
      </w:pPr>
    </w:p>
    <w:p>
      <w:pPr>
        <w:pStyle w:val="P12"/>
        <w:tabs>
          <w:tab w:val="clear" w:pos="4252" w:leader="none"/>
          <w:tab w:val="clear" w:pos="8504" w:leader="none"/>
        </w:tabs>
        <w:rPr>
          <w:rStyle w:val="C3"/>
          <w:rFonts w:ascii="Courier New" w:hAnsi="Courier New"/>
        </w:rPr>
      </w:pPr>
    </w:p>
    <w:p>
      <w:pPr>
        <w:pStyle w:val="P12"/>
        <w:tabs>
          <w:tab w:val="clear" w:pos="4252" w:leader="none"/>
          <w:tab w:val="clear" w:pos="8504" w:leader="none"/>
        </w:tabs>
        <w:rPr>
          <w:rStyle w:val="C3"/>
          <w:rFonts w:ascii="Courier New" w:hAnsi="Courier New"/>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rPr>
        <w:t>...///2.-</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OT</w:t>
      </w:r>
      <w:r>
        <w:rPr>
          <w:rStyle w:val="C3"/>
          <w:rFonts w:ascii="Courier New" w:hAnsi="Courier New"/>
          <w:b w:val="1"/>
        </w:rPr>
        <w:t>ÓRGASE</w:t>
      </w:r>
      <w:r>
        <w:rPr>
          <w:rStyle w:val="C3"/>
          <w:rFonts w:ascii="Courier New" w:hAnsi="Courier New"/>
        </w:rPr>
        <w:t xml:space="preserve"> en donación  el lote Designación Catastral 04-02-206-012, de B° La Perla, a la Sra. Mitrano Mariella D.N.I 17.780.864.-</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beneficiario debe edificar en un plazo máximo de dieciocho (18) meses a partir de la promulgación de la presente Ordenanza, según el correspondiente plano aprobado por las oficinas técnicas correspondientes.</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Art.3</w:t>
      </w:r>
      <w:r>
        <w:rPr>
          <w:rStyle w:val="C3"/>
          <w:rFonts w:ascii="Courier New" w:hAnsi="Courier New"/>
          <w:b w:val="1"/>
        </w:rPr>
        <w:t>: LA</w:t>
      </w:r>
      <w:r>
        <w:rPr>
          <w:rStyle w:val="C3"/>
          <w:rFonts w:ascii="Courier New" w:hAnsi="Courier New"/>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Art.4</w:t>
      </w:r>
      <w:r>
        <w:rPr>
          <w:rStyle w:val="C3"/>
          <w:rFonts w:ascii="Courier New" w:hAnsi="Courier New"/>
          <w:b w:val="1"/>
        </w:rPr>
        <w:t>: LA</w:t>
      </w:r>
      <w:r>
        <w:rPr>
          <w:rStyle w:val="C3"/>
          <w:rFonts w:ascii="Courier New" w:hAnsi="Courier New"/>
        </w:rPr>
        <w:t xml:space="preserve"> presente donación es con cargo, debiendo el beneficiario abonar en su totalidad las cargas tributarias que gravan el inmueble, las  contribuciones  por mejoras, desde el comienzo de la posesión, es decir desde el año 2001 y los gastos de transferencia de dominio. En el supuesto de incumplimiento de esta obligación, la Municipalidad no se hará  cargo en ningún caso de las erogaciones que deban pagar el beneficiario de acuerdo al presente artículo, debiendo abonar y mantener al día desde la fecha de la presente, la Tasa por Servicios a la Propiedad.-</w:t>
      </w:r>
    </w:p>
    <w:p>
      <w:pPr>
        <w:ind w:hanging="567" w:left="567"/>
        <w:jc w:val="both"/>
        <w:rPr>
          <w:rStyle w:val="C3"/>
          <w:rFonts w:ascii="Courier New" w:hAnsi="Courier New"/>
          <w:b w:val="1"/>
          <w:u w:val="single"/>
        </w:rPr>
      </w:pPr>
    </w:p>
    <w:p>
      <w:pPr>
        <w:ind w:hanging="567" w:left="567"/>
        <w:jc w:val="both"/>
        <w:rPr>
          <w:rStyle w:val="C3"/>
          <w:rFonts w:ascii="Courier New" w:hAnsi="Courier New"/>
        </w:rPr>
      </w:pPr>
      <w:r>
        <w:rPr>
          <w:rStyle w:val="C3"/>
          <w:rFonts w:ascii="Courier New" w:hAnsi="Courier New"/>
          <w:b w:val="1"/>
          <w:u w:val="single"/>
        </w:rPr>
        <w:t>Art.5</w:t>
      </w:r>
      <w:r>
        <w:rPr>
          <w:rStyle w:val="C3"/>
          <w:rFonts w:ascii="Courier New" w:hAnsi="Courier New"/>
          <w:b w:val="1"/>
        </w:rPr>
        <w:t>: LA</w:t>
      </w:r>
      <w:r>
        <w:rPr>
          <w:rStyle w:val="C3"/>
          <w:rFonts w:ascii="Courier New" w:hAnsi="Courier New"/>
        </w:rPr>
        <w:t xml:space="preserve"> presente Ordenanza es título hábil de posesión hasta tanto el Departamento Ejecutivo otorgue la correspondiente escritura traslativa de dominio.</w:t>
      </w:r>
    </w:p>
    <w:p>
      <w:pPr>
        <w:ind w:hanging="567" w:left="567"/>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Art.6</w:t>
      </w:r>
      <w:r>
        <w:rPr>
          <w:rStyle w:val="C3"/>
          <w:rFonts w:ascii="Courier New" w:hAnsi="Courier New"/>
          <w:b w:val="1"/>
        </w:rPr>
        <w:t>: AUTORÍZASE</w:t>
      </w:r>
      <w:r>
        <w:rPr>
          <w:rStyle w:val="C3"/>
          <w:rFonts w:ascii="Courier New" w:hAnsi="Courier New"/>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Área Municipal de la Vivienda y previa verificación de que posee las tasas al día, siendo los gastos a cargo del beneficiario.</w:t>
      </w:r>
    </w:p>
    <w:p>
      <w:pPr>
        <w:ind w:hanging="567" w:left="567"/>
        <w:jc w:val="right"/>
        <w:rPr>
          <w:rStyle w:val="C3"/>
          <w:rFonts w:ascii="Courier New" w:hAnsi="Courier New"/>
        </w:rPr>
      </w:pPr>
      <w:r>
        <w:rPr>
          <w:rStyle w:val="C3"/>
          <w:rFonts w:ascii="Courier New" w:hAnsi="Courier New"/>
        </w:rPr>
        <w:t>...///</w:t>
      </w:r>
    </w:p>
    <w:p>
      <w:pPr>
        <w:ind w:hanging="567" w:left="567"/>
        <w:jc w:val="both"/>
        <w:rPr>
          <w:rStyle w:val="C3"/>
          <w:rFonts w:ascii="Courier New" w:hAnsi="Courier New"/>
          <w:b w:val="1"/>
          <w:u w:val="single"/>
        </w:rPr>
      </w:pPr>
    </w:p>
    <w:p>
      <w:pPr>
        <w:ind w:hanging="567" w:left="567"/>
        <w:jc w:val="both"/>
        <w:rPr>
          <w:rStyle w:val="C3"/>
          <w:rFonts w:ascii="Courier New" w:hAnsi="Courier New"/>
          <w:b w:val="1"/>
          <w:u w:val="single"/>
        </w:rPr>
      </w:pPr>
    </w:p>
    <w:p>
      <w:pPr>
        <w:ind w:hanging="567" w:left="567"/>
        <w:jc w:val="both"/>
        <w:rPr>
          <w:rStyle w:val="C3"/>
          <w:rFonts w:ascii="Courier New" w:hAnsi="Courier New"/>
          <w:b w:val="1"/>
          <w:u w:val="single"/>
        </w:rPr>
      </w:pPr>
    </w:p>
    <w:p>
      <w:pPr>
        <w:ind w:hanging="567" w:left="567"/>
        <w:jc w:val="both"/>
        <w:rPr>
          <w:rStyle w:val="C3"/>
          <w:rFonts w:ascii="Courier New" w:hAnsi="Courier New"/>
          <w:b w:val="1"/>
          <w:u w:val="single"/>
        </w:rPr>
      </w:pPr>
    </w:p>
    <w:p>
      <w:pPr>
        <w:ind w:hanging="567" w:left="567"/>
        <w:jc w:val="both"/>
        <w:rPr>
          <w:rStyle w:val="C3"/>
          <w:rFonts w:ascii="Courier New" w:hAnsi="Courier New"/>
          <w:b w:val="1"/>
          <w:u w:val="single"/>
        </w:rPr>
      </w:pPr>
    </w:p>
    <w:p>
      <w:pPr>
        <w:ind w:hanging="567" w:left="567"/>
        <w:jc w:val="both"/>
        <w:rPr>
          <w:rStyle w:val="C3"/>
          <w:rFonts w:ascii="Courier New" w:hAnsi="Courier New"/>
          <w:b w:val="1"/>
          <w:u w:val="single"/>
        </w:rPr>
      </w:pPr>
    </w:p>
    <w:p>
      <w:pPr>
        <w:ind w:hanging="567" w:left="567"/>
        <w:jc w:val="both"/>
        <w:rPr>
          <w:rStyle w:val="C3"/>
          <w:rFonts w:ascii="Courier New" w:hAnsi="Courier New"/>
          <w:b w:val="1"/>
          <w:u w:val="single"/>
        </w:rPr>
      </w:pPr>
    </w:p>
    <w:p>
      <w:pPr>
        <w:ind w:hanging="567" w:left="567"/>
        <w:jc w:val="both"/>
        <w:rPr>
          <w:rStyle w:val="C3"/>
          <w:rFonts w:ascii="Courier New" w:hAnsi="Courier New"/>
        </w:rPr>
      </w:pPr>
      <w:r>
        <w:rPr>
          <w:rStyle w:val="C3"/>
          <w:rFonts w:ascii="Courier New" w:hAnsi="Courier New"/>
        </w:rPr>
        <w:t>...///3.-</w:t>
      </w:r>
    </w:p>
    <w:p>
      <w:pPr>
        <w:ind w:hanging="567" w:left="567"/>
        <w:jc w:val="both"/>
        <w:rPr>
          <w:rStyle w:val="C3"/>
          <w:rFonts w:ascii="Courier New" w:hAnsi="Courier New"/>
          <w:b w:val="1"/>
          <w:u w:val="single"/>
        </w:rPr>
      </w:pPr>
    </w:p>
    <w:p>
      <w:pPr>
        <w:ind w:hanging="567" w:left="567"/>
        <w:jc w:val="both"/>
        <w:rPr>
          <w:rStyle w:val="C3"/>
          <w:rFonts w:ascii="Courier New" w:hAnsi="Courier New"/>
        </w:rPr>
      </w:pPr>
      <w:r>
        <w:rPr>
          <w:rStyle w:val="C3"/>
          <w:rFonts w:ascii="Courier New" w:hAnsi="Courier New"/>
          <w:b w:val="1"/>
          <w:u w:val="single"/>
        </w:rPr>
        <w:t>Art.7</w:t>
      </w:r>
      <w:r>
        <w:rPr>
          <w:rStyle w:val="C3"/>
          <w:rFonts w:ascii="Courier New" w:hAnsi="Courier New"/>
          <w:b w:val="1"/>
        </w:rPr>
        <w:t>: EN</w:t>
      </w:r>
      <w:r>
        <w:rPr>
          <w:rStyle w:val="C3"/>
          <w:rFonts w:ascii="Courier New" w:hAnsi="Courier New"/>
        </w:rPr>
        <w:t xml:space="preserve"> todos los casos el donatario debe, a través del área pertinente, dejar expresa constancia de la conformidad del acto y de la renuncia a posteriores reclamos judiciales al Municipio.</w:t>
      </w:r>
    </w:p>
    <w:p>
      <w:pPr>
        <w:ind w:hanging="567" w:left="567"/>
        <w:jc w:val="both"/>
        <w:rPr>
          <w:rStyle w:val="C3"/>
          <w:rFonts w:ascii="Courier New" w:hAnsi="Courier New"/>
          <w:b w:val="1"/>
          <w:u w:val="single"/>
        </w:rPr>
      </w:pPr>
    </w:p>
    <w:p>
      <w:pPr>
        <w:ind w:hanging="561" w:left="561"/>
        <w:jc w:val="both"/>
        <w:rPr>
          <w:rStyle w:val="C3"/>
          <w:rFonts w:ascii="Courier New" w:hAnsi="Courier New"/>
          <w:b w:val="1"/>
          <w:u w:val="single"/>
        </w:rPr>
      </w:pPr>
      <w:r>
        <w:rPr>
          <w:rStyle w:val="C3"/>
          <w:rFonts w:ascii="Courier New" w:hAnsi="Courier New"/>
          <w:b w:val="1"/>
          <w:u w:val="single"/>
        </w:rPr>
        <w:t>Art.8</w:t>
      </w:r>
      <w:r>
        <w:rPr>
          <w:rStyle w:val="C3"/>
          <w:rFonts w:ascii="Courier New" w:hAnsi="Courier New"/>
          <w:b w:val="1"/>
        </w:rPr>
        <w:t>: EL</w:t>
      </w:r>
      <w:r>
        <w:rPr>
          <w:rStyle w:val="C3"/>
          <w:rFonts w:ascii="Courier New" w:hAnsi="Courier New"/>
        </w:rPr>
        <w:t xml:space="preserve"> lote donado debe ser destinado exclusivamente a vivienda familiar del beneficiario y su grupo familiar, siendo intransferible por el término de diez (10) años</w:t>
      </w: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4"/>
      </w:pPr>
      <w:r>
        <w:t>DADA EN LA SALA DE SESIONES DEL HONORABLE CONCEJO DELIBERANTE A LOS DIECISIETE DIAS DEL MES DE JUNIO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 independiente"/>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2009-06-24T22:38:00Z</dcterms:created>
  <cp:lastModifiedBy>Ethan Puglia</cp:lastModifiedBy>
  <cp:lastPrinted>2009-06-23T00:47:00Z</cp:lastPrinted>
  <dcterms:modified xsi:type="dcterms:W3CDTF">2019-03-28T17:34:12Z</dcterms:modified>
  <cp:revision>7</cp:revision>
  <dc:title>PROYECTO DE ORDENANZA VIOLENCIA FAMILIAR</dc:title>
</cp:coreProperties>
</file>