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52A5D10" Type="http://schemas.openxmlformats.org/officeDocument/2006/relationships/officeDocument" Target="/word/document.xml" /><Relationship Id="coreR452A5D1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jc w:val="left"/>
        <w:rPr>
          <w:rStyle w:val="C3"/>
        </w:rPr>
      </w:pPr>
    </w:p>
    <w:p>
      <w:pPr>
        <w:pStyle w:val="P4"/>
      </w:pPr>
      <w:r>
        <w:t xml:space="preserve">ORDENANZA  N° 8422</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Las Ordenanzas Nº 3086, Nº 8390; y</w:t>
      </w: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pStyle w:val="P15"/>
        <w:ind w:left="561"/>
        <w:jc w:val="both"/>
        <w:rPr>
          <w:rStyle w:val="C3"/>
          <w:b w:val="1"/>
          <w:u w:val="none"/>
        </w:rPr>
      </w:pPr>
      <w:r>
        <w:rPr>
          <w:rStyle w:val="C3"/>
          <w:b w:val="0"/>
          <w:u w:val="none"/>
        </w:rPr>
        <w:t>Que a través del plexo normativo de la Ordenanza Nº 3086 se crea el Archivo Histórico Municipal, dependiente de la por entonces Dirección Municipal de Cultura, hoy Secretaría de Educación y Cultura;</w:t>
      </w:r>
    </w:p>
    <w:p>
      <w:pPr>
        <w:pStyle w:val="P15"/>
        <w:ind w:left="561"/>
        <w:jc w:val="both"/>
        <w:rPr>
          <w:rStyle w:val="C3"/>
          <w:b w:val="1"/>
          <w:u w:val="none"/>
        </w:rPr>
      </w:pPr>
    </w:p>
    <w:p>
      <w:pPr>
        <w:pStyle w:val="P15"/>
        <w:ind w:left="561"/>
        <w:jc w:val="both"/>
        <w:rPr>
          <w:rStyle w:val="C3"/>
          <w:b w:val="1"/>
          <w:u w:val="none"/>
        </w:rPr>
      </w:pPr>
      <w:r>
        <w:rPr>
          <w:rStyle w:val="C3"/>
          <w:b w:val="0"/>
          <w:u w:val="none"/>
        </w:rPr>
        <w:t xml:space="preserve">Que en la conformación de la documentación a atesorar en la mencionada sección se encuentra, según el Art.3, inciso b, las </w:t>
      </w:r>
      <w:r>
        <w:rPr>
          <w:rStyle w:val="C3"/>
          <w:i w:val="1"/>
        </w:rPr>
        <w:t>fotocopias</w:t>
      </w:r>
      <w:r>
        <w:rPr>
          <w:rStyle w:val="C3"/>
          <w:b w:val="0"/>
          <w:u w:val="none"/>
        </w:rPr>
        <w:t xml:space="preserve"> autenticadas de las Actas, Ordenanzas y Resoluciones del Honorable Concejo Deliberante;</w:t>
      </w:r>
    </w:p>
    <w:p>
      <w:pPr>
        <w:pStyle w:val="P15"/>
        <w:ind w:left="561"/>
        <w:jc w:val="both"/>
        <w:rPr>
          <w:rStyle w:val="C3"/>
          <w:b w:val="1"/>
          <w:u w:val="none"/>
        </w:rPr>
      </w:pPr>
    </w:p>
    <w:p>
      <w:pPr>
        <w:pStyle w:val="P15"/>
        <w:ind w:left="561"/>
        <w:jc w:val="both"/>
        <w:rPr>
          <w:rStyle w:val="C3"/>
          <w:b w:val="1"/>
          <w:u w:val="none"/>
        </w:rPr>
      </w:pPr>
      <w:r>
        <w:rPr>
          <w:rStyle w:val="C3"/>
          <w:b w:val="0"/>
          <w:u w:val="none"/>
        </w:rPr>
        <w:t xml:space="preserve">Que asimismo, el articulo establece la custodia de los originales en el Honorable Concejo Deliberante por tratarse de material de consulta permanente, pero emitiendo </w:t>
      </w:r>
      <w:r>
        <w:rPr>
          <w:rStyle w:val="C3"/>
          <w:i w:val="1"/>
        </w:rPr>
        <w:t>fotocopias</w:t>
      </w:r>
      <w:r>
        <w:rPr>
          <w:rStyle w:val="C3"/>
          <w:b w:val="0"/>
          <w:u w:val="none"/>
        </w:rPr>
        <w:t xml:space="preserve">  según solicitud y/ o necesidad;</w:t>
      </w:r>
    </w:p>
    <w:p>
      <w:pPr>
        <w:pStyle w:val="P15"/>
        <w:ind w:left="561"/>
        <w:jc w:val="both"/>
        <w:rPr>
          <w:rStyle w:val="C3"/>
          <w:b w:val="1"/>
          <w:u w:val="none"/>
        </w:rPr>
      </w:pPr>
    </w:p>
    <w:p>
      <w:pPr>
        <w:pStyle w:val="P15"/>
        <w:ind w:left="561"/>
        <w:jc w:val="both"/>
        <w:rPr>
          <w:rStyle w:val="C3"/>
          <w:b w:val="1"/>
          <w:u w:val="none"/>
        </w:rPr>
      </w:pPr>
      <w:r>
        <w:rPr>
          <w:rStyle w:val="C3"/>
          <w:b w:val="0"/>
          <w:u w:val="none"/>
        </w:rPr>
        <w:t>Que tal práctica (fotocopia) es en la actualidad totalmente desaconsejada por expertos en archivalía y conservación de la documentación en papel;</w:t>
      </w:r>
    </w:p>
    <w:p>
      <w:pPr>
        <w:pStyle w:val="P15"/>
        <w:ind w:left="561"/>
        <w:jc w:val="both"/>
        <w:rPr>
          <w:rStyle w:val="C3"/>
          <w:b w:val="1"/>
          <w:u w:val="none"/>
        </w:rPr>
      </w:pPr>
    </w:p>
    <w:p>
      <w:pPr>
        <w:pStyle w:val="P15"/>
        <w:ind w:left="561"/>
        <w:jc w:val="both"/>
        <w:rPr>
          <w:rStyle w:val="C3"/>
          <w:b w:val="1"/>
          <w:u w:val="none"/>
        </w:rPr>
      </w:pPr>
      <w:r>
        <w:rPr>
          <w:rStyle w:val="C3"/>
          <w:b w:val="0"/>
          <w:u w:val="none"/>
        </w:rPr>
        <w:t xml:space="preserve">Que además, al momento de la sanción de la norma que nos ocupa, la disposición de la documentación no contaba con el lugar y espacio  físico adecuado;</w:t>
      </w:r>
    </w:p>
    <w:p>
      <w:pPr>
        <w:pStyle w:val="P15"/>
        <w:ind w:left="561"/>
        <w:jc w:val="both"/>
        <w:rPr>
          <w:rStyle w:val="C3"/>
          <w:b w:val="1"/>
          <w:u w:val="none"/>
        </w:rPr>
      </w:pPr>
    </w:p>
    <w:p>
      <w:pPr>
        <w:pStyle w:val="P15"/>
        <w:ind w:left="561"/>
        <w:jc w:val="both"/>
        <w:rPr>
          <w:rStyle w:val="C3"/>
          <w:b w:val="1"/>
          <w:u w:val="none"/>
        </w:rPr>
      </w:pPr>
      <w:r>
        <w:rPr>
          <w:rStyle w:val="C3"/>
          <w:b w:val="0"/>
          <w:u w:val="none"/>
        </w:rPr>
        <w:t>Que en la actualidad, el edificio municipal Gdor. Santiago H. del Castillo alberga en su seno, entre otras dependencias municipales no menos importantes, el Archivo Histórico Municipal, el cual dispone del necesario y adecuado entorno a los fines de contener en lugar seguro la totalidad de la documentación con mas de treinta años de antigüedad(Ordenanza Nº 2257);</w:t>
      </w:r>
    </w:p>
    <w:p>
      <w:pPr>
        <w:pStyle w:val="P15"/>
        <w:jc w:val="right"/>
        <w:rPr>
          <w:rStyle w:val="C3"/>
          <w:b w:val="1"/>
          <w:u w:val="none"/>
        </w:rPr>
      </w:pPr>
      <w:r>
        <w:rPr>
          <w:rStyle w:val="C3"/>
          <w:b w:val="0"/>
          <w:u w:val="none"/>
        </w:rPr>
        <w:t>...///</w:t>
      </w:r>
    </w:p>
    <w:p>
      <w:pPr>
        <w:ind w:left="561"/>
        <w:jc w:val="both"/>
        <w:rPr>
          <w:rStyle w:val="C3"/>
          <w:rFonts w:ascii="Courier New" w:hAnsi="Courier New"/>
        </w:rPr>
      </w:pPr>
    </w:p>
    <w:p>
      <w:pPr>
        <w:ind w:left="561"/>
        <w:jc w:val="center"/>
        <w:rPr>
          <w:rStyle w:val="C3"/>
          <w:rFonts w:ascii="JaneAusten" w:hAnsi="JaneAusten"/>
        </w:rPr>
      </w:pPr>
    </w:p>
    <w:p>
      <w:pPr>
        <w:ind w:left="561"/>
        <w:jc w:val="center"/>
        <w:rPr>
          <w:rStyle w:val="C3"/>
          <w:rFonts w:ascii="JaneAusten" w:hAnsi="JaneAusten"/>
        </w:rPr>
      </w:pPr>
    </w:p>
    <w:p>
      <w:pPr>
        <w:ind w:left="561"/>
        <w:jc w:val="center"/>
        <w:rPr>
          <w:rStyle w:val="C3"/>
          <w:rFonts w:ascii="JaneAusten" w:hAnsi="JaneAusten"/>
        </w:rPr>
      </w:pPr>
    </w:p>
    <w:p>
      <w:pPr>
        <w:ind w:left="561"/>
        <w:jc w:val="center"/>
        <w:rPr>
          <w:rStyle w:val="C3"/>
          <w:rFonts w:ascii="Courier New" w:hAnsi="Courier New"/>
        </w:rPr>
      </w:pPr>
      <w:r>
        <w:rPr>
          <w:rStyle w:val="C3"/>
          <w:rFonts w:ascii="JaneAusten" w:hAnsi="JaneAusten"/>
        </w:rPr>
        <w:t>“Año del Cincuentenario de la Asociación y del Cuerpo de Bomberos Voluntarios de la Ciudad”</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además cuenta con los recursos humanos debidamente capacitados en el manejo, conservación, descripción administración y disposición científica de tan valiosos registros en papel;</w:t>
      </w:r>
    </w:p>
    <w:p>
      <w:pPr>
        <w:ind w:left="561"/>
        <w:jc w:val="both"/>
        <w:rPr>
          <w:rStyle w:val="C3"/>
          <w:rFonts w:ascii="Courier New" w:hAnsi="Courier New"/>
        </w:rPr>
      </w:pPr>
    </w:p>
    <w:p>
      <w:pPr>
        <w:pStyle w:val="P9"/>
        <w:ind w:left="561"/>
      </w:pPr>
      <w:r>
        <w:t xml:space="preserve">Que en el dictado de la ordenanza Nº 8390, en su Articulo primero establece como prioritaria y excluyente la protección de la documentación impresa en papel, obrante en el Archivo  Municipal;</w:t>
      </w:r>
    </w:p>
    <w:p>
      <w:pPr>
        <w:pStyle w:val="P9"/>
        <w:ind w:left="561"/>
      </w:pPr>
    </w:p>
    <w:p>
      <w:pPr>
        <w:pStyle w:val="P9"/>
        <w:ind w:left="561"/>
        <w:rPr>
          <w:rStyle w:val="C3"/>
          <w:b w:val="1"/>
          <w:i w:val="1"/>
          <w:u w:val="single"/>
        </w:rPr>
      </w:pPr>
      <w:r>
        <w:t xml:space="preserve">Que la voluntad del legislador es preservar la documentación atesorada  pero en el </w:t>
      </w:r>
      <w:r>
        <w:rPr>
          <w:rStyle w:val="C3"/>
          <w:b w:val="1"/>
          <w:i w:val="1"/>
          <w:u w:val="single"/>
        </w:rPr>
        <w:t>Archivo Histórico Municipal;</w:t>
      </w:r>
    </w:p>
    <w:p>
      <w:pPr>
        <w:pStyle w:val="P9"/>
        <w:tabs>
          <w:tab w:val="left" w:pos="2680" w:leader="none"/>
        </w:tabs>
        <w:ind w:left="0"/>
        <w:rPr>
          <w:rStyle w:val="C3"/>
        </w:rPr>
      </w:pPr>
    </w:p>
    <w:p>
      <w:pPr>
        <w:ind w:left="561"/>
        <w:jc w:val="both"/>
        <w:rPr>
          <w:rStyle w:val="C3"/>
          <w:rFonts w:ascii="Courier New" w:hAnsi="Courier New"/>
        </w:rPr>
      </w:pPr>
      <w:r>
        <w:rPr>
          <w:rStyle w:val="C3"/>
          <w:rFonts w:ascii="Courier New" w:hAnsi="Courier New"/>
        </w:rPr>
        <w:t xml:space="preserve">Que es necesario, oportuno y conveniente modificar ambas normas a los fines de tornarlas eficaces y aplicables, siendo para la primera de ellas, es decir la ordenanza Nº 3086,  el contexto técnico actual y edilicio, siendo en la segunda, Ordenanza Nº 8390, la primigenia voluntad legisferante y en ambas, la salvaguarda del papel, “…soporte fundamental de la memoria…”;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la totalidad de los Concejales, se aprueba por unanimidad en Sesión Ordinaria del día 08 de Julio de 2009.-</w:t>
      </w:r>
    </w:p>
    <w:p>
      <w:pPr>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left="561"/>
        <w:jc w:val="center"/>
        <w:rPr>
          <w:rStyle w:val="C3"/>
          <w:rFonts w:ascii="JaneAusten" w:hAnsi="JaneAusten"/>
        </w:rPr>
      </w:pPr>
    </w:p>
    <w:p>
      <w:pPr>
        <w:ind w:left="561"/>
        <w:jc w:val="center"/>
        <w:rPr>
          <w:rStyle w:val="C3"/>
          <w:rFonts w:ascii="Courier New" w:hAnsi="Courier New"/>
        </w:rPr>
      </w:pPr>
      <w:r>
        <w:rPr>
          <w:rStyle w:val="C3"/>
          <w:rFonts w:ascii="JaneAusten" w:hAnsi="JaneAusten"/>
        </w:rPr>
        <w:t>“Año del Cincuentenario de la Asociación y del Cuerpo de Bomberos Voluntarios de la Ciudad”</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jc w:val="both"/>
        <w:rPr>
          <w:rStyle w:val="C3"/>
          <w:rFonts w:ascii="Courier New" w:hAnsi="Courier New"/>
          <w:b w:val="1"/>
          <w:u w:val="single"/>
        </w:rPr>
      </w:pPr>
      <w:r>
        <w:rPr>
          <w:rStyle w:val="C3"/>
          <w:rFonts w:ascii="Courier New" w:hAnsi="Courier New"/>
        </w:rPr>
        <w:t>...///3.-</w:t>
      </w:r>
    </w:p>
    <w:p>
      <w:pPr>
        <w:jc w:val="both"/>
        <w:rPr>
          <w:rStyle w:val="C3"/>
          <w:rFonts w:ascii="Courier New" w:hAnsi="Courier New"/>
          <w:b w:val="1"/>
          <w:u w:val="single"/>
        </w:rPr>
      </w:pPr>
    </w:p>
    <w:p>
      <w:pPr>
        <w:pStyle w:val="P9"/>
        <w:ind w:left="0"/>
      </w:pPr>
      <w:r>
        <w:rPr>
          <w:rStyle w:val="C3"/>
          <w:b w:val="1"/>
          <w:u w:val="single"/>
        </w:rPr>
        <w:t>Art.1</w:t>
      </w:r>
      <w:r>
        <w:rPr>
          <w:rStyle w:val="C3"/>
          <w:b w:val="1"/>
        </w:rPr>
        <w:t xml:space="preserve">: MODIFÍCASE </w:t>
      </w:r>
      <w:r>
        <w:t xml:space="preserve">el Art. 3º de la Ordenanza Nº3086: </w:t>
      </w:r>
    </w:p>
    <w:p>
      <w:pPr>
        <w:pStyle w:val="P9"/>
        <w:ind w:left="0"/>
      </w:pPr>
    </w:p>
    <w:p>
      <w:pPr>
        <w:pStyle w:val="P9"/>
        <w:ind w:left="561"/>
      </w:pPr>
      <w:r>
        <w:t>Inc. a) el que quedará redactado de la siguiente forma:</w:t>
      </w:r>
    </w:p>
    <w:p>
      <w:pPr>
        <w:pStyle w:val="P9"/>
        <w:ind w:left="561"/>
      </w:pPr>
    </w:p>
    <w:p>
      <w:pPr>
        <w:pStyle w:val="P9"/>
        <w:ind w:left="561"/>
      </w:pPr>
      <w:r>
        <w:t xml:space="preserve">a) Todos los documentos y expedientes originales, que carezcan de valor administrativo o copias debidamente autenticadas de las Reparticiones y Oficinas; Los Decretos y Resoluciones del Departamento Ejecutivo Municipal que superen los treinta años.- </w:t>
      </w:r>
    </w:p>
    <w:p>
      <w:pPr>
        <w:pStyle w:val="P9"/>
        <w:ind w:left="561"/>
      </w:pPr>
    </w:p>
    <w:p>
      <w:pPr>
        <w:pStyle w:val="P9"/>
        <w:ind w:left="561"/>
      </w:pPr>
      <w:r>
        <w:t>Inc.b, el que quedará redactado de la siguiente forma:</w:t>
      </w:r>
    </w:p>
    <w:p>
      <w:pPr>
        <w:pStyle w:val="P9"/>
        <w:ind w:left="0"/>
      </w:pPr>
    </w:p>
    <w:p>
      <w:pPr>
        <w:pStyle w:val="P9"/>
        <w:ind w:left="561"/>
      </w:pPr>
      <w:r>
        <w:t xml:space="preserve">b)Las Actas de Sesiones aprobadas, Ordenanzas sancionadas, Decretos dictados y Resoluciones emitidas por el Honorable Concejo Deliberante y que superen los treinta (30) años de antigüedad, las que deberán ser remitidas por Secretaría Legislativa, una vez  transcurrido dicho periodo.- </w:t>
      </w:r>
    </w:p>
    <w:p>
      <w:pPr>
        <w:pStyle w:val="P9"/>
        <w:ind w:left="0"/>
      </w:pPr>
    </w:p>
    <w:p>
      <w:pPr>
        <w:pStyle w:val="P9"/>
        <w:ind w:hanging="561" w:left="561"/>
      </w:pPr>
      <w:r>
        <w:rPr>
          <w:rStyle w:val="C3"/>
          <w:b w:val="1"/>
          <w:u w:val="single"/>
        </w:rPr>
        <w:t>Art.2</w:t>
      </w:r>
      <w:r>
        <w:t xml:space="preserve">: </w:t>
      </w:r>
      <w:r>
        <w:rPr>
          <w:rStyle w:val="C3"/>
          <w:b w:val="1"/>
        </w:rPr>
        <w:t xml:space="preserve">MODIFÍCASE </w:t>
      </w:r>
      <w:r>
        <w:t>el Art. 1º de la Ordenanza Nº8390, el que quedará redactado de la siguiente forma:</w:t>
      </w:r>
    </w:p>
    <w:p>
      <w:pPr>
        <w:pStyle w:val="P9"/>
        <w:ind w:hanging="561" w:left="561"/>
      </w:pPr>
    </w:p>
    <w:p>
      <w:pPr>
        <w:pStyle w:val="P9"/>
        <w:ind w:hanging="561" w:left="561"/>
      </w:pPr>
      <w:r>
        <w:t>“…</w:t>
      </w:r>
      <w:r>
        <w:rPr>
          <w:rStyle w:val="C3"/>
          <w:b w:val="1"/>
          <w:u w:val="single"/>
        </w:rPr>
        <w:t xml:space="preserve"> Art.1</w:t>
      </w:r>
      <w:r>
        <w:rPr>
          <w:rStyle w:val="C3"/>
          <w:b w:val="1"/>
        </w:rPr>
        <w:t>:</w:t>
      </w:r>
      <w:r>
        <w:t xml:space="preserve"> </w:t>
      </w:r>
      <w:r>
        <w:rPr>
          <w:rStyle w:val="C3"/>
          <w:b w:val="1"/>
        </w:rPr>
        <w:t xml:space="preserve">ESTABLÉZCASE </w:t>
      </w:r>
      <w:r>
        <w:t xml:space="preserve">como prioritaria y excluyente la protección de la documentación impresa en papel, obrante en el </w:t>
      </w:r>
      <w:r>
        <w:rPr>
          <w:rStyle w:val="C3"/>
          <w:b w:val="1"/>
          <w:i w:val="1"/>
          <w:u w:val="single"/>
        </w:rPr>
        <w:t>Archivo Histórico Municipal</w:t>
      </w:r>
      <w:r>
        <w:t>(Ordenanza 3086 y Modificatoria).-…”</w:t>
      </w:r>
    </w:p>
    <w:p>
      <w:pPr>
        <w:pStyle w:val="P9"/>
        <w:ind w:hanging="561" w:left="561"/>
        <w:rPr>
          <w:rStyle w:val="C3"/>
          <w:b w:val="1"/>
          <w:u w:val="single"/>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OCHO DÍAS DEL MES DE JULIO DEL AÑO DOS MIL NUEVE.-</w:t>
      </w:r>
    </w:p>
    <w:p>
      <w:pPr>
        <w:jc w:val="both"/>
        <w:rPr>
          <w:rStyle w:val="C3"/>
          <w:rFonts w:ascii="Courier New" w:hAnsi="Courier New"/>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exto normal"/>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qFormat/>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paragraph" w:styleId="P18">
    <w:name w:val="Texto de globo"/>
    <w:basedOn w:val="P0"/>
    <w:next w:val="P18"/>
    <w:link w:val="C5"/>
    <w:pPr/>
    <w:rPr>
      <w:rFonts w:ascii="Tahoma" w:hAnsi="Tahoma"/>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de globo Car"/>
    <w:link w:val="P18"/>
    <w:rPr>
      <w:rFonts w:ascii="Tahoma" w:hAnsi="Tahoma"/>
      <w:sz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2009-07-15T03:27:00Z</dcterms:created>
  <cp:lastModifiedBy>Ethan Puglia</cp:lastModifiedBy>
  <cp:lastPrinted>2015-07-23T13:41:00Z</cp:lastPrinted>
  <dcterms:modified xsi:type="dcterms:W3CDTF">2019-03-28T17:34:13Z</dcterms:modified>
  <cp:revision>10</cp:revision>
  <dc:title>PROYECTO DE ORDENANZA VIOLENCIA FAMILIAR</dc:title>
</cp:coreProperties>
</file>