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77BE75A" Type="http://schemas.openxmlformats.org/officeDocument/2006/relationships/officeDocument" Target="/word/document.xml" /><Relationship Id="coreR777BE75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8423</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Visto: El Expediente Nº 398/09, las  Ordenanzas N° 6894, Nº8296; y</w:t>
      </w: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pStyle w:val="P15"/>
        <w:ind w:left="561"/>
        <w:jc w:val="both"/>
        <w:rPr>
          <w:rStyle w:val="C3"/>
          <w:b w:val="1"/>
          <w:u w:val="none"/>
        </w:rPr>
      </w:pPr>
    </w:p>
    <w:p>
      <w:pPr>
        <w:ind w:left="561"/>
        <w:jc w:val="both"/>
        <w:rPr>
          <w:rStyle w:val="C3"/>
          <w:rFonts w:ascii="Courier New" w:hAnsi="Courier New"/>
        </w:rPr>
      </w:pPr>
      <w:r>
        <w:rPr>
          <w:rStyle w:val="C3"/>
          <w:rFonts w:ascii="Courier New" w:hAnsi="Courier New"/>
        </w:rPr>
        <w:t>Que en la Ordenanza N° 6894 se aprueba el plano de zonificación de la jurisdicción municipal;</w:t>
      </w:r>
    </w:p>
    <w:p>
      <w:pPr>
        <w:ind w:left="561"/>
        <w:jc w:val="both"/>
        <w:rPr>
          <w:rStyle w:val="C3"/>
          <w:rFonts w:ascii="Courier New" w:hAnsi="Courier New"/>
        </w:rPr>
      </w:pPr>
    </w:p>
    <w:p>
      <w:pPr>
        <w:pStyle w:val="P17"/>
        <w:ind w:left="561"/>
        <w:jc w:val="both"/>
        <w:rPr>
          <w:rStyle w:val="C3"/>
          <w:sz w:val="24"/>
        </w:rPr>
      </w:pPr>
      <w:r>
        <w:rPr>
          <w:rStyle w:val="C3"/>
          <w:sz w:val="24"/>
        </w:rPr>
        <w:t xml:space="preserve">Que en su Art. 1º punto 7, dice </w:t>
      </w:r>
      <w:r>
        <w:rPr>
          <w:rStyle w:val="C3"/>
          <w:b w:val="1"/>
          <w:sz w:val="24"/>
        </w:rPr>
        <w:t xml:space="preserve">PARTE DEL LOTEO VILLA CAMIARES PLANO U-340: </w:t>
      </w:r>
      <w:r>
        <w:rPr>
          <w:rStyle w:val="C3"/>
          <w:sz w:val="24"/>
        </w:rPr>
        <w:t>Manzanas: 1 a 16, l8 a 23 y las calles de otras manzanas que dan frente a las mencionadas anteriormente;</w:t>
      </w:r>
    </w:p>
    <w:p>
      <w:pPr>
        <w:pStyle w:val="P17"/>
        <w:ind w:left="561"/>
        <w:jc w:val="both"/>
        <w:rPr>
          <w:rStyle w:val="C3"/>
          <w:sz w:val="24"/>
        </w:rPr>
      </w:pPr>
    </w:p>
    <w:p>
      <w:pPr>
        <w:ind w:left="561"/>
        <w:jc w:val="both"/>
        <w:rPr>
          <w:rStyle w:val="C3"/>
          <w:rFonts w:ascii="Courier New" w:hAnsi="Courier New"/>
        </w:rPr>
      </w:pPr>
      <w:r>
        <w:rPr>
          <w:rStyle w:val="C3"/>
          <w:rFonts w:ascii="Courier New" w:hAnsi="Courier New"/>
        </w:rPr>
        <w:t>Que mediante Memorándum N° 170/08 con fecha 14/11/08, a solicitud de Sección Catastro, la Dirección de Ingresos Públicos envía Proyecto de modificación al Art. 1, punto 7 de la mencionada Ordenanza;</w:t>
      </w:r>
    </w:p>
    <w:p>
      <w:pPr>
        <w:ind w:left="561"/>
        <w:jc w:val="both"/>
        <w:rPr>
          <w:rStyle w:val="C3"/>
          <w:rFonts w:ascii="Courier New" w:hAnsi="Courier New"/>
        </w:rPr>
      </w:pPr>
    </w:p>
    <w:p>
      <w:pPr>
        <w:pStyle w:val="P17"/>
        <w:ind w:left="561"/>
        <w:jc w:val="both"/>
        <w:rPr>
          <w:rStyle w:val="C3"/>
          <w:sz w:val="24"/>
        </w:rPr>
      </w:pPr>
      <w:r>
        <w:rPr>
          <w:rStyle w:val="C3"/>
          <w:sz w:val="24"/>
        </w:rPr>
        <w:t>Que a través de la Ordenanza Nº 8296 de fecha 26 de noviembre de 2008, se toma en su totalidad el “</w:t>
      </w:r>
      <w:r>
        <w:rPr>
          <w:rStyle w:val="C3"/>
          <w:b w:val="1"/>
          <w:sz w:val="24"/>
        </w:rPr>
        <w:t>LOTEO VILLA CAMIARES PLANO U</w:t>
      </w:r>
      <w:r>
        <w:rPr>
          <w:rStyle w:val="C3"/>
          <w:b w:val="1"/>
          <w:sz w:val="24"/>
        </w:rPr>
        <w:t>-</w:t>
      </w:r>
      <w:r>
        <w:rPr>
          <w:rStyle w:val="C3"/>
          <w:b w:val="1"/>
          <w:sz w:val="24"/>
        </w:rPr>
        <w:t>340.</w:t>
      </w:r>
      <w:r>
        <w:rPr>
          <w:rStyle w:val="C3"/>
          <w:sz w:val="24"/>
        </w:rPr>
        <w:t>”;</w:t>
      </w:r>
    </w:p>
    <w:p>
      <w:pPr>
        <w:pStyle w:val="P17"/>
        <w:ind w:left="561"/>
        <w:jc w:val="both"/>
        <w:rPr>
          <w:rStyle w:val="C3"/>
          <w:sz w:val="24"/>
        </w:rPr>
      </w:pPr>
    </w:p>
    <w:p>
      <w:pPr>
        <w:pStyle w:val="P17"/>
        <w:ind w:left="561"/>
        <w:jc w:val="both"/>
        <w:rPr>
          <w:rStyle w:val="C3"/>
          <w:sz w:val="24"/>
        </w:rPr>
      </w:pPr>
      <w:r>
        <w:rPr>
          <w:rStyle w:val="C3"/>
          <w:sz w:val="24"/>
        </w:rPr>
        <w:t xml:space="preserve">Que el Estado Municipal incorporó en su sistema de procesamiento de datos la totalidad del loteo en cuestión desde la promulgación de la Ordenanza Nº 6894, habiendo generado acreencias fiscales hacia  propietarios no afectados por la legislación vigente;</w:t>
      </w:r>
    </w:p>
    <w:p>
      <w:pPr>
        <w:pStyle w:val="P17"/>
        <w:rPr>
          <w:rStyle w:val="C3"/>
          <w:sz w:val="24"/>
        </w:rPr>
      </w:pPr>
    </w:p>
    <w:p>
      <w:pPr>
        <w:pStyle w:val="P8"/>
        <w:ind w:left="561"/>
      </w:pPr>
      <w:r>
        <w:t xml:space="preserve">Que en reunión mantenida en el seno del Honorable Concejo Deliberante, entre autoridades del Centro Vecinal del mencionado barrio, Concejales y funcionarios del Departamento Ejecutivo,  se consideró  necesario, oportuno y conveniente subsanar dicha situación;</w:t>
      </w:r>
    </w:p>
    <w:p>
      <w:pPr>
        <w:jc w:val="right"/>
        <w:rPr>
          <w:rStyle w:val="C3"/>
          <w:rFonts w:ascii="Courier New" w:hAnsi="Courier New"/>
        </w:rPr>
      </w:pPr>
      <w:r>
        <w:rPr>
          <w:rStyle w:val="C3"/>
          <w:b w:val="1"/>
          <w:u w:val="none"/>
        </w:rPr>
        <w:t>...///</w:t>
      </w:r>
    </w:p>
    <w:p>
      <w:pPr>
        <w:pStyle w:val="P15"/>
        <w:ind w:left="561"/>
        <w:jc w:val="both"/>
        <w:rPr>
          <w:rStyle w:val="C3"/>
          <w:b w:val="1"/>
          <w:u w:val="none"/>
        </w:rPr>
      </w:pPr>
    </w:p>
    <w:p>
      <w:pPr>
        <w:pStyle w:val="P15"/>
        <w:ind w:left="561"/>
        <w:jc w:val="right"/>
        <w:rPr>
          <w:rStyle w:val="C3"/>
          <w:b w:val="1"/>
          <w:u w:val="none"/>
        </w:rPr>
      </w:pPr>
    </w:p>
    <w:p>
      <w:pPr>
        <w:pStyle w:val="P15"/>
        <w:ind w:left="561"/>
        <w:jc w:val="both"/>
        <w:rPr>
          <w:rStyle w:val="C3"/>
          <w:b w:val="1"/>
          <w:u w:val="none"/>
        </w:rPr>
      </w:pPr>
    </w:p>
    <w:p>
      <w:pPr>
        <w:pStyle w:val="P15"/>
        <w:ind w:left="561"/>
        <w:jc w:val="both"/>
        <w:rPr>
          <w:rStyle w:val="C3"/>
          <w:b w:val="1"/>
          <w:u w:val="none"/>
        </w:rPr>
      </w:pPr>
    </w:p>
    <w:p>
      <w:pPr>
        <w:ind w:left="561"/>
        <w:jc w:val="center"/>
        <w:rPr>
          <w:rStyle w:val="C3"/>
          <w:rFonts w:ascii="Courier New" w:hAnsi="Courier New"/>
        </w:rPr>
      </w:pPr>
      <w:r>
        <w:rPr>
          <w:rStyle w:val="C3"/>
          <w:rFonts w:ascii="JaneAusten" w:hAnsi="JaneAusten"/>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ind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Pr>
      </w:pPr>
      <w:r>
        <w:rPr>
          <w:rStyle w:val="C3"/>
          <w:rFonts w:ascii="Courier New" w:hAnsi="Courier New"/>
        </w:rPr>
        <w:t>Que analizado el Proyecto de Ordenanza por la Comisión de Hacienda, la misma emite despacho favorable, aprobado por Unanimidad, en Sesión Ordinaria del día 08 de Julio de 2009;</w:t>
      </w:r>
    </w:p>
    <w:p>
      <w:pPr>
        <w:jc w:val="center"/>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b w:val="1"/>
          <w:u w:val="single"/>
        </w:rPr>
      </w:pPr>
    </w:p>
    <w:p>
      <w:pPr>
        <w:jc w:val="both"/>
        <w:rPr>
          <w:rStyle w:val="C3"/>
          <w:rFonts w:ascii="Courier New" w:hAnsi="Courier New"/>
          <w:b w:val="1"/>
          <w:u w:val="single"/>
        </w:rPr>
      </w:pPr>
    </w:p>
    <w:p>
      <w:pPr>
        <w:pStyle w:val="P11"/>
        <w:ind w:left="0"/>
        <w:rPr>
          <w:rStyle w:val="C3"/>
          <w:b w:val="1"/>
        </w:rPr>
      </w:pPr>
      <w:r>
        <w:rPr>
          <w:rStyle w:val="C3"/>
          <w:b w:val="0"/>
          <w:u w:val="single"/>
        </w:rPr>
        <w:t>Art.1</w:t>
      </w:r>
      <w:r>
        <w:rPr>
          <w:rStyle w:val="C3"/>
          <w:b w:val="0"/>
        </w:rPr>
        <w:t>:</w:t>
      </w:r>
      <w:r>
        <w:rPr>
          <w:rStyle w:val="C3"/>
          <w:b w:val="0"/>
        </w:rPr>
        <w:t xml:space="preserve"> </w:t>
      </w:r>
      <w:r>
        <w:t>DEJASE</w:t>
      </w:r>
      <w:r>
        <w:rPr>
          <w:rStyle w:val="C3"/>
          <w:b w:val="0"/>
        </w:rPr>
        <w:t xml:space="preserve"> sin efecto bajo todo concepto (normal, en gestión judi</w:t>
      </w:r>
      <w:r>
        <w:rPr>
          <w:rStyle w:val="C3"/>
          <w:b w:val="0"/>
        </w:rPr>
        <w:t>cial, o judicial) la percepción</w:t>
      </w:r>
      <w:r>
        <w:rPr>
          <w:rStyle w:val="C3"/>
          <w:b w:val="0"/>
        </w:rPr>
        <w:t xml:space="preserve"> de las tasas por Servicios a la Propiedad que afecten a los inmuebles no comprendidos en los extremos de la Ordenanza Nº6894, Art.</w:t>
      </w:r>
      <w:r>
        <w:rPr>
          <w:rStyle w:val="C3"/>
          <w:b w:val="0"/>
        </w:rPr>
        <w:t>1</w:t>
      </w:r>
      <w:r>
        <w:rPr>
          <w:rStyle w:val="C3"/>
          <w:b w:val="0"/>
        </w:rPr>
        <w:t>°</w:t>
      </w:r>
      <w:r>
        <w:rPr>
          <w:rStyle w:val="C3"/>
          <w:b w:val="0"/>
        </w:rPr>
        <w:t xml:space="preserve"> Punto 7 y afectados posteriormente por la Ordenanza Nº 8296.-</w:t>
      </w:r>
    </w:p>
    <w:p>
      <w:pPr>
        <w:pStyle w:val="P11"/>
        <w:ind w:left="0"/>
        <w:rPr>
          <w:rStyle w:val="C3"/>
          <w:b w:val="1"/>
        </w:rPr>
      </w:pPr>
    </w:p>
    <w:p>
      <w:pPr>
        <w:pStyle w:val="P11"/>
        <w:ind w:left="0"/>
        <w:rPr>
          <w:rStyle w:val="C3"/>
          <w:b w:val="1"/>
        </w:rPr>
      </w:pPr>
      <w:r>
        <w:rPr>
          <w:rStyle w:val="C3"/>
          <w:u w:val="single"/>
        </w:rPr>
        <w:t>Art.2</w:t>
      </w:r>
      <w:r>
        <w:t>: PROCÉDASE</w:t>
      </w:r>
      <w:r>
        <w:rPr>
          <w:rStyle w:val="C3"/>
          <w:b w:val="0"/>
        </w:rPr>
        <w:t xml:space="preserve"> a cancelar, cuando</w:t>
      </w:r>
      <w:r>
        <w:rPr>
          <w:rStyle w:val="C3"/>
          <w:b w:val="0"/>
        </w:rPr>
        <w:t xml:space="preserve"> conste el pago de aquellos contribuyentes que resulten beneficiados por el artículo anterior, la cantidad de pe</w:t>
      </w:r>
      <w:r>
        <w:rPr>
          <w:rStyle w:val="C3"/>
          <w:b w:val="0"/>
        </w:rPr>
        <w:t>riodos abonados en igual número</w:t>
      </w:r>
      <w:r>
        <w:rPr>
          <w:rStyle w:val="C3"/>
          <w:b w:val="0"/>
        </w:rPr>
        <w:t xml:space="preserve"> a periodos posteriores al 1º de enero de 2009 vencidos o a vencer.-</w:t>
      </w:r>
    </w:p>
    <w:p>
      <w:pPr>
        <w:pStyle w:val="P9"/>
        <w:ind w:hanging="561" w:left="561"/>
        <w:rPr>
          <w:rStyle w:val="C3"/>
        </w:rPr>
      </w:pPr>
    </w:p>
    <w:p>
      <w:pPr>
        <w:pStyle w:val="P9"/>
        <w:ind w:hanging="561" w:left="561"/>
        <w:rPr>
          <w:rStyle w:val="C3"/>
          <w:b w:val="1"/>
          <w:u w:val="single"/>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OCHO DIAS DEL MES DE JULIO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paragraph" w:styleId="P18">
    <w:name w:val="Remite de sobre"/>
    <w:basedOn w:val="P0"/>
    <w:next w:val="P18"/>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2009-07-15T23:47:00Z</dcterms:created>
  <cp:lastModifiedBy>Ethan Puglia</cp:lastModifiedBy>
  <cp:lastPrinted>2009-07-16T01:27:00Z</cp:lastPrinted>
  <dcterms:modified xsi:type="dcterms:W3CDTF">2019-03-28T17:34:13Z</dcterms:modified>
  <cp:revision>8</cp:revision>
  <dc:title>PROYECTO DE ORDENANZA VIOLENCIA FAMILIAR</dc:title>
</cp:coreProperties>
</file>