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6590C1F" Type="http://schemas.openxmlformats.org/officeDocument/2006/relationships/officeDocument" Target="/word/document.xml" /><Relationship Id="coreR76590C1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3"/>
        <w:ind w:left="113"/>
        <w:jc w:val="center"/>
        <w:rPr>
          <w:rStyle w:val="C3"/>
          <w:rFonts w:ascii="JaneAusten" w:hAnsi="JaneAusten"/>
          <w:b w:val="1"/>
          <w:sz w:val="24"/>
        </w:rPr>
      </w:pPr>
    </w:p>
    <w:p>
      <w:pPr>
        <w:pStyle w:val="P13"/>
        <w:ind w:left="113"/>
        <w:jc w:val="center"/>
        <w:rPr>
          <w:rStyle w:val="C3"/>
          <w:rFonts w:ascii="JaneAusten" w:hAnsi="JaneAusten"/>
          <w:b w:val="1"/>
          <w:sz w:val="24"/>
        </w:rPr>
      </w:pPr>
    </w:p>
    <w:p>
      <w:pPr>
        <w:pStyle w:val="P13"/>
        <w:ind w:left="113"/>
        <w:jc w:val="center"/>
        <w:rPr>
          <w:rStyle w:val="C3"/>
          <w:rFonts w:ascii="JaneAusten" w:hAnsi="JaneAusten"/>
          <w:b w:val="1"/>
          <w:sz w:val="24"/>
        </w:rPr>
      </w:pPr>
    </w:p>
    <w:p>
      <w:pPr>
        <w:pStyle w:val="P13"/>
        <w:ind w:left="113"/>
        <w:jc w:val="center"/>
        <w:rPr>
          <w:rStyle w:val="C3"/>
          <w:rFonts w:ascii="JaneAusten" w:hAnsi="JaneAusten"/>
          <w:b w:val="1"/>
          <w:sz w:val="24"/>
        </w:rPr>
      </w:pPr>
      <w:r>
        <w:rPr>
          <w:rStyle w:val="C3"/>
          <w:rFonts w:ascii="JaneAusten" w:hAnsi="JaneAusten"/>
          <w:b w:val="0"/>
          <w:sz w:val="24"/>
        </w:rPr>
        <w:t xml:space="preserve"> </w:t>
      </w: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pStyle w:val="P4"/>
        <w:rPr>
          <w:rStyle w:val="C3"/>
        </w:rPr>
      </w:pPr>
    </w:p>
    <w:p>
      <w:pPr>
        <w:pStyle w:val="P4"/>
      </w:pPr>
      <w:r>
        <w:t>ORDENANZA N° 8425</w:t>
      </w:r>
    </w:p>
    <w:p>
      <w:pPr>
        <w:jc w:val="both"/>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Expte. Nº 461/09, iniciado por Loto, Marcela – Previa, y;</w:t>
      </w:r>
    </w:p>
    <w:p>
      <w:pPr>
        <w:jc w:val="both"/>
        <w:rPr>
          <w:rStyle w:val="C3"/>
          <w:rFonts w:ascii="Courier New" w:hAnsi="Courier New"/>
        </w:rPr>
      </w:pPr>
    </w:p>
    <w:p>
      <w:pPr>
        <w:jc w:val="both"/>
        <w:rPr>
          <w:rStyle w:val="C3"/>
          <w:rFonts w:ascii="Courier New" w:hAnsi="Courier New"/>
        </w:rPr>
      </w:pPr>
    </w:p>
    <w:p>
      <w:pPr>
        <w:pStyle w:val="P2"/>
      </w:pPr>
      <w:r>
        <w:t>C O N S I D E R A N D O</w:t>
      </w:r>
    </w:p>
    <w:p>
      <w:pPr>
        <w:jc w:val="both"/>
        <w:rPr>
          <w:rStyle w:val="C3"/>
          <w:rFonts w:ascii="Courier New" w:hAnsi="Courier New"/>
        </w:rPr>
      </w:pPr>
    </w:p>
    <w:p>
      <w:pPr>
        <w:pStyle w:val="P15"/>
        <w:ind w:left="561"/>
        <w:jc w:val="both"/>
        <w:rPr>
          <w:rStyle w:val="C3"/>
          <w:b w:val="1"/>
          <w:u w:val="none"/>
        </w:rPr>
      </w:pPr>
    </w:p>
    <w:p>
      <w:pPr>
        <w:ind w:left="561"/>
        <w:jc w:val="both"/>
        <w:rPr>
          <w:rStyle w:val="C3"/>
          <w:rFonts w:ascii="Courier New" w:hAnsi="Courier New"/>
        </w:rPr>
      </w:pPr>
      <w:r>
        <w:rPr>
          <w:rStyle w:val="C3"/>
          <w:rFonts w:ascii="Courier New" w:hAnsi="Courier New"/>
        </w:rPr>
        <w:t>Que en el mismo se solicita la autorización para realizar una ampliación en planta alta de una segunda unidad habitacional existente en el inmueble Designación Catastral 1-1-149-17, propiedad de la interesada, de Barrio Pellegrini de nuestra Ciudad, sin el cumplimiento de los Arts. 241, 242 y 186 de la Ord. N° 1294, Código de Edificación y Urbanización de la Ciudad de Alta gracia;</w:t>
      </w:r>
    </w:p>
    <w:p>
      <w:pPr>
        <w:ind w:left="561"/>
        <w:jc w:val="both"/>
        <w:rPr>
          <w:rStyle w:val="C3"/>
          <w:rFonts w:ascii="Courier New" w:hAnsi="Courier New"/>
        </w:rPr>
      </w:pPr>
    </w:p>
    <w:p>
      <w:pPr>
        <w:pStyle w:val="P13"/>
        <w:ind w:left="561"/>
        <w:jc w:val="both"/>
        <w:rPr>
          <w:rStyle w:val="C3"/>
          <w:rFonts w:ascii="Courier New" w:hAnsi="Courier New"/>
          <w:b w:val="1"/>
          <w:sz w:val="24"/>
        </w:rPr>
      </w:pPr>
      <w:r>
        <w:rPr>
          <w:rStyle w:val="C3"/>
          <w:rFonts w:ascii="Courier New" w:hAnsi="Courier New"/>
          <w:b w:val="0"/>
          <w:sz w:val="24"/>
        </w:rPr>
        <w:t>Que el inmueble en cuestión tiene frente hacia dos calles: Achával Rodríguez y Buenos Aires, con dos construcciones ya ejecutadas: la del frente a B</w:t>
      </w:r>
      <w:r>
        <w:rPr>
          <w:rStyle w:val="C3"/>
          <w:rFonts w:ascii="Courier New" w:hAnsi="Courier New"/>
          <w:b w:val="0"/>
          <w:sz w:val="24"/>
        </w:rPr>
        <w:t>uenos Aires</w:t>
      </w:r>
      <w:r>
        <w:rPr>
          <w:rStyle w:val="C3"/>
          <w:rFonts w:ascii="Courier New" w:hAnsi="Courier New"/>
          <w:b w:val="0"/>
          <w:sz w:val="24"/>
        </w:rPr>
        <w:t>, de 173,36 m</w:t>
      </w:r>
      <w:r>
        <w:rPr>
          <w:rStyle w:val="C3"/>
          <w:rFonts w:ascii="Courier New" w:hAnsi="Courier New"/>
          <w:b w:val="0"/>
          <w:sz w:val="24"/>
        </w:rPr>
        <w:t>2</w:t>
      </w:r>
      <w:r>
        <w:rPr>
          <w:rStyle w:val="C3"/>
          <w:rFonts w:ascii="Courier New" w:hAnsi="Courier New"/>
          <w:b w:val="0"/>
          <w:sz w:val="24"/>
        </w:rPr>
        <w:t xml:space="preserve"> a</w:t>
      </w:r>
      <w:r>
        <w:rPr>
          <w:rStyle w:val="C3"/>
          <w:rFonts w:ascii="Courier New" w:hAnsi="Courier New"/>
          <w:b w:val="0"/>
          <w:sz w:val="24"/>
        </w:rPr>
        <w:t>probada en el año 2003 con Expediente</w:t>
      </w:r>
      <w:r>
        <w:rPr>
          <w:rStyle w:val="C3"/>
          <w:rFonts w:ascii="Courier New" w:hAnsi="Courier New"/>
          <w:b w:val="0"/>
          <w:sz w:val="24"/>
        </w:rPr>
        <w:t xml:space="preserve"> de Construcción N° 1704/03 y otra con frente a Achával Rodríguez de 111,40 m</w:t>
      </w:r>
      <w:r>
        <w:rPr>
          <w:rStyle w:val="C3"/>
          <w:rFonts w:ascii="Courier New" w:hAnsi="Courier New"/>
          <w:b w:val="0"/>
          <w:sz w:val="24"/>
        </w:rPr>
        <w:t>2</w:t>
      </w:r>
      <w:r>
        <w:rPr>
          <w:rStyle w:val="C3"/>
          <w:rFonts w:ascii="Courier New" w:hAnsi="Courier New"/>
          <w:b w:val="0"/>
          <w:sz w:val="24"/>
        </w:rPr>
        <w:t xml:space="preserve">, con una antigüedad de 4 años, sin declaración de la misma; </w:t>
      </w:r>
    </w:p>
    <w:p>
      <w:pPr>
        <w:ind w:left="561"/>
        <w:jc w:val="both"/>
        <w:rPr>
          <w:rStyle w:val="C3"/>
          <w:rFonts w:ascii="Courier New" w:hAnsi="Courier New"/>
        </w:rPr>
      </w:pPr>
    </w:p>
    <w:p>
      <w:pPr>
        <w:pStyle w:val="P8"/>
        <w:ind w:left="561"/>
      </w:pPr>
      <w:r>
        <w:t xml:space="preserve">Que sobre esta superficie relevada se proyecta una ampliación en planta alta de 38,10 m2, la cual al construirse sobre la estructura de la ya existente en planta baja, invade el retiro de Línea Municipal que establece la Normativa vigente;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de acuerdo a lo informado por el Área de Obras Privadas a fs. 7 y 7 vta. no se cumple con el Art. 186, inc. b) de la Ord. N° 1294, que establece que las construcciones realizadas y que no cumplen con la normativa, no pueden ser ampliadas; </w:t>
      </w:r>
    </w:p>
    <w:p>
      <w:pPr>
        <w:jc w:val="right"/>
        <w:rPr>
          <w:rStyle w:val="C3"/>
          <w:rFonts w:ascii="Courier New" w:hAnsi="Courier New"/>
        </w:rPr>
      </w:pPr>
      <w:r>
        <w:rPr>
          <w:rStyle w:val="C3"/>
          <w:rFonts w:ascii="Courier New" w:hAnsi="Courier New"/>
        </w:rPr>
        <w:t>...///</w:t>
      </w:r>
    </w:p>
    <w:p>
      <w:pPr>
        <w:pStyle w:val="P8"/>
        <w:ind w:left="561"/>
        <w:rPr>
          <w:rStyle w:val="C3"/>
        </w:rPr>
      </w:pPr>
    </w:p>
    <w:p>
      <w:pPr>
        <w:pStyle w:val="P8"/>
        <w:ind w:left="561"/>
        <w:rPr>
          <w:rStyle w:val="C3"/>
        </w:rPr>
      </w:pPr>
    </w:p>
    <w:p>
      <w:pPr>
        <w:pStyle w:val="P8"/>
        <w:ind w:left="561"/>
        <w:rPr>
          <w:rStyle w:val="C3"/>
        </w:rPr>
      </w:pPr>
    </w:p>
    <w:p>
      <w:pPr>
        <w:jc w:val="center"/>
        <w:rPr>
          <w:rStyle w:val="C3"/>
          <w:rFonts w:ascii="Courier New" w:hAnsi="Courier New"/>
        </w:rPr>
      </w:pPr>
    </w:p>
    <w:p>
      <w:pPr>
        <w:jc w:val="center"/>
        <w:rPr>
          <w:rStyle w:val="C3"/>
          <w:rFonts w:ascii="Courier New" w:hAnsi="Courier New"/>
        </w:rPr>
      </w:pPr>
      <w:r>
        <w:rPr>
          <w:rStyle w:val="C3"/>
          <w:rFonts w:ascii="JaneAusten" w:hAnsi="JaneAusten"/>
        </w:rPr>
        <w:t>“Año del Cincuentenario de la Asociación y del Cuerpo de Bomberos Voluntarios de la Ciudad”</w:t>
      </w:r>
    </w:p>
    <w:p>
      <w:pPr>
        <w:ind w:left="561"/>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...///2.-</w:t>
      </w:r>
    </w:p>
    <w:p>
      <w:pPr>
        <w:ind w:hanging="561"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luego de visitar el lugar y de un análisis pormenorizado del presente  por parte de esta Comisión, se desprende que para la superficie relevada existente y por no cumplir con los Arts. 241 y 242, debe dar cumplimiento a lo establecido por la Ordenanza Tarifaria vigente N° 8301, en su Art. 24, inc. b);</w:t>
      </w:r>
    </w:p>
    <w:p>
      <w:pPr>
        <w:ind w:left="561"/>
        <w:jc w:val="both"/>
        <w:rPr>
          <w:rStyle w:val="C3"/>
          <w:rFonts w:ascii="Courier New" w:hAnsi="Courier New"/>
        </w:rPr>
      </w:pPr>
    </w:p>
    <w:p>
      <w:pPr>
        <w:ind w:left="561"/>
        <w:jc w:val="both"/>
        <w:rPr>
          <w:rStyle w:val="C3"/>
        </w:rPr>
      </w:pPr>
      <w:r>
        <w:rPr>
          <w:rStyle w:val="C3"/>
          <w:rFonts w:ascii="Courier New" w:hAnsi="Courier New"/>
        </w:rPr>
        <w:t>Que analizado el Expediente de referencia por la Comisión de Obras y Servicios Públicos, la misma emite despacho favorable, aprobado por mayoría, en Sesión Ordinaria del día 08 de Julio de 2009;</w:t>
      </w:r>
    </w:p>
    <w:p>
      <w:pPr>
        <w:jc w:val="center"/>
        <w:rPr>
          <w:rStyle w:val="C3"/>
          <w:rFonts w:ascii="Courier New" w:hAnsi="Courier New"/>
          <w:b w:val="1"/>
        </w:rPr>
      </w:pPr>
    </w:p>
    <w:p>
      <w:pPr>
        <w:jc w:val="both"/>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ALTA GRACIA SANCIONA CON FUERZA DE ORDENANZA</w:t>
      </w:r>
    </w:p>
    <w:p>
      <w:pPr>
        <w:jc w:val="both"/>
        <w:rPr>
          <w:rStyle w:val="C3"/>
          <w:rFonts w:ascii="Courier New" w:hAnsi="Courier New"/>
          <w:b w:val="1"/>
          <w:u w:val="single"/>
        </w:rPr>
      </w:pPr>
    </w:p>
    <w:p>
      <w:pPr>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AUTORIZAR</w:t>
      </w:r>
      <w:r>
        <w:rPr>
          <w:rStyle w:val="C3"/>
          <w:rFonts w:ascii="Courier New" w:hAnsi="Courier New"/>
        </w:rPr>
        <w:t xml:space="preserve"> a la Sra. Marcela Loto, propietaria del inmueble Designación Catastral 1-1-149-17, ubicado en calle Achával Rodríguez s/n°, de Barrio Pellegrini de nuestra Ciudad, a realizar una ampliación en planta alta de 38,10 m2, exceptuando a la misma del cumplimiento de los Art. N° 242 “Retiro de Línea de Edificación” y Art. N° 186 “Reforma o Ampliación de Edificios”, de la Ordenanza N° 1294, Código de Edificación y Urbanización de Alta Gracia.-</w:t>
      </w:r>
    </w:p>
    <w:p>
      <w:pPr>
        <w:pStyle w:val="P9"/>
        <w:ind w:left="0"/>
        <w:rPr>
          <w:rStyle w:val="C3"/>
          <w:b w:val="1"/>
          <w:u w:val="single"/>
        </w:rPr>
      </w:pPr>
    </w:p>
    <w:p>
      <w:pPr>
        <w:ind w:hanging="561" w:left="561"/>
        <w:jc w:val="both"/>
        <w:rPr>
          <w:rStyle w:val="C3"/>
          <w:rFonts w:ascii="Courier New" w:hAnsi="Courier New"/>
        </w:rPr>
      </w:pPr>
      <w:r>
        <w:rPr>
          <w:rStyle w:val="C3"/>
          <w:rFonts w:ascii="Courier New" w:hAnsi="Courier New"/>
          <w:b w:val="1"/>
          <w:u w:val="single"/>
        </w:rPr>
        <w:t>Art.2</w:t>
      </w:r>
      <w:r>
        <w:rPr>
          <w:rStyle w:val="C3"/>
          <w:rFonts w:ascii="Courier New" w:hAnsi="Courier New"/>
          <w:b w:val="1"/>
        </w:rPr>
        <w:t>: PROTOCOLÍCESE</w:t>
      </w:r>
      <w:r>
        <w:rPr>
          <w:rStyle w:val="C3"/>
          <w:rFonts w:ascii="Courier New" w:hAnsi="Courier New"/>
        </w:rPr>
        <w:t>, Comuníquese, publíquese la presente Ordenanza en el Boletín Oficial de la Municipalidad de Alta Gracia, transcríbase al libro de Ordenanzas y archívese.-</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t>DADA EN LA SALA DE SESIONES DEL HONORABLE CONCEJO DELIBERANTE A OCHO DÍAS DEL MES DE JULIO DEL AÑO DOS MIL NUEVE.-</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num w:numId="1">
    <w:abstractNumId w:val="2"/>
  </w:num>
  <w:num w:numId="2">
    <w:abstractNumId w:val="3"/>
  </w:num>
  <w:num w:numId="3">
    <w:abstractNumId w:val="0"/>
  </w:num>
  <w:num w:numId="4">
    <w:abstractNumId w:val="1"/>
  </w:num>
  <w:num w:numId="5">
    <w:abstractNumId w:val="4"/>
  </w:num>
  <w:num w:numId="6">
    <w:abstractNumId w:val="5"/>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exto independiente"/>
    <w:basedOn w:val="P0"/>
    <w:next w:val="P8"/>
    <w:pPr>
      <w:jc w:val="both"/>
    </w:pPr>
    <w:rPr>
      <w:rFonts w:ascii="Courier New" w:hAnsi="Courier New"/>
    </w:rPr>
  </w:style>
  <w:style w:type="paragraph" w:styleId="P9">
    <w:name w:val="Sangría de t. independiente"/>
    <w:basedOn w:val="P0"/>
    <w:next w:val="P9"/>
    <w:pPr>
      <w:ind w:left="748"/>
      <w:jc w:val="both"/>
    </w:pPr>
    <w:rPr>
      <w:rFonts w:ascii="Courier New" w:hAnsi="Courier New"/>
    </w:rPr>
  </w:style>
  <w:style w:type="paragraph" w:styleId="P10">
    <w:name w:val="Sangría 2 de t. independiente"/>
    <w:basedOn w:val="P0"/>
    <w:next w:val="P10"/>
    <w:pPr>
      <w:ind w:hanging="748" w:left="748"/>
      <w:jc w:val="both"/>
    </w:pPr>
    <w:rPr>
      <w:rFonts w:ascii="Courier New" w:hAnsi="Courier New"/>
    </w:rPr>
  </w:style>
  <w:style w:type="paragraph" w:styleId="P11">
    <w:name w:val="Sangría 3 de t. independiente"/>
    <w:basedOn w:val="P0"/>
    <w:next w:val="P11"/>
    <w:pPr>
      <w:ind w:left="748"/>
      <w:jc w:val="both"/>
    </w:pPr>
    <w:rPr>
      <w:rFonts w:ascii="Courier New" w:hAnsi="Courier New"/>
      <w:b w:val="1"/>
    </w:rPr>
  </w:style>
  <w:style w:type="paragraph" w:styleId="P12">
    <w:name w:val="Encabezado"/>
    <w:basedOn w:val="P0"/>
    <w:next w:val="P12"/>
    <w:pPr>
      <w:tabs>
        <w:tab w:val="center" w:pos="4252" w:leader="none"/>
        <w:tab w:val="right" w:pos="8504" w:leader="none"/>
      </w:tabs>
    </w:pPr>
    <w:rPr/>
  </w:style>
  <w:style w:type="paragraph" w:styleId="P13">
    <w:name w:val="Texto independiente 2"/>
    <w:basedOn w:val="P0"/>
    <w:next w:val="P13"/>
    <w:pPr/>
    <w:rPr>
      <w:rFonts w:ascii="Arial" w:hAnsi="Arial"/>
      <w:b w:val="1"/>
      <w:sz w:val="28"/>
    </w:rPr>
  </w:style>
  <w:style w:type="paragraph" w:styleId="P14">
    <w:name w:val="Texto independiente 3"/>
    <w:basedOn w:val="P0"/>
    <w:next w:val="P14"/>
    <w:pPr>
      <w:jc w:val="both"/>
    </w:pPr>
    <w:rPr>
      <w:rFonts w:ascii="Courier New" w:hAnsi="Courier New"/>
      <w:b w:val="1"/>
    </w:rPr>
  </w:style>
  <w:style w:type="paragraph" w:styleId="P15">
    <w:name w:val="Título"/>
    <w:basedOn w:val="P0"/>
    <w:next w:val="P15"/>
    <w:pPr>
      <w:jc w:val="center"/>
    </w:pPr>
    <w:rPr>
      <w:rFonts w:ascii="Courier New" w:hAnsi="Courier New"/>
      <w:b w:val="1"/>
      <w:u w:val="single"/>
    </w:rPr>
  </w:style>
  <w:style w:type="paragraph" w:styleId="P16">
    <w:name w:val="Normal (Web)"/>
    <w:basedOn w:val="P0"/>
    <w:next w:val="P16"/>
    <w:pPr>
      <w:spacing w:before="100" w:after="100"/>
    </w:pPr>
    <w:rPr/>
  </w:style>
  <w:style w:type="paragraph" w:styleId="P17">
    <w:name w:val="Texto sin formato"/>
    <w:basedOn w:val="P0"/>
    <w:next w:val="P17"/>
    <w:pPr/>
    <w:rPr>
      <w:rFonts w:ascii="Courier New" w:hAnsi="Courier New"/>
      <w:sz w:val="20"/>
    </w:rPr>
  </w:style>
  <w:style w:type="paragraph" w:styleId="P18">
    <w:name w:val="Remite de sobre"/>
    <w:basedOn w:val="P0"/>
    <w:next w:val="P18"/>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2009-07-16T03:03:00Z</dcterms:created>
  <cp:lastModifiedBy>Ethan Puglia</cp:lastModifiedBy>
  <cp:lastPrinted>2009-07-16T02:54:00Z</cp:lastPrinted>
  <dcterms:modified xsi:type="dcterms:W3CDTF">2019-03-28T17:34:13Z</dcterms:modified>
  <cp:revision>6</cp:revision>
  <dc:title>PROYECTO DE ORDENANZA VIOLENCIA FAMILIAR</dc:title>
</cp:coreProperties>
</file>