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5F4C27" Type="http://schemas.openxmlformats.org/officeDocument/2006/relationships/officeDocument" Target="/word/document.xml" /><Relationship Id="coreR75F4C2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ORDENANZA N° 8426</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1629/08 iniciado por la Parroquia Nuestra Señora de la Merced: “Donación de Lote – Proyecto de relocalización del Colegio Parroquial El Obraje”,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mismo ya fuera elevado por el Dpto. Ejecutivo a este Cuerpo Legislativo con un Proyecto de Ordenanza de Donación de una fracción del predio Potrero de Loyola para la ejecución del nuevo edificio del Colegio Parroquial “El Obraje”;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situación legal de la tenencia de ese predio por parte de la Municipalidad de Alta Gracia, es la de derechos posesorios sobre el  mismo; </w:t>
      </w:r>
    </w:p>
    <w:p>
      <w:pPr>
        <w:jc w:val="both"/>
        <w:rPr>
          <w:rStyle w:val="C3"/>
          <w:rFonts w:ascii="Courier New" w:hAnsi="Courier New"/>
        </w:rPr>
      </w:pPr>
    </w:p>
    <w:p>
      <w:pPr>
        <w:pStyle w:val="P15"/>
        <w:ind w:left="561"/>
        <w:jc w:val="both"/>
        <w:rPr>
          <w:rStyle w:val="C3"/>
          <w:b w:val="1"/>
          <w:u w:val="none"/>
        </w:rPr>
      </w:pPr>
      <w:r>
        <w:rPr>
          <w:rStyle w:val="C3"/>
          <w:b w:val="0"/>
          <w:u w:val="none"/>
        </w:rPr>
        <w:t>Que esta Comisión, luego de una reunión mantenida con autoridades del Arzobispado de Córdoba, donde se les explicó la situación expresada en el con</w:t>
      </w:r>
      <w:r>
        <w:rPr>
          <w:rStyle w:val="C3"/>
          <w:b w:val="0"/>
          <w:u w:val="none"/>
        </w:rPr>
        <w:t>siderando anterior, se acordó</w:t>
      </w:r>
      <w:r>
        <w:rPr>
          <w:rStyle w:val="C3"/>
          <w:b w:val="0"/>
          <w:u w:val="none"/>
        </w:rPr>
        <w:t xml:space="preserve"> trabajar conjuntamente con la Asesoría Letrada de esta Municipalidad a fin de lograr la inscripción definitiva del predio denominado “Potrero de Loyola” en el Registro General de la Propiedad de Córdoba a nombre de esta Municipalidad, debido a la necesidad de reconstituir los títulos que hoy constan en dicha repartición provincial por la ilegibilidad de los mismos;</w:t>
      </w:r>
    </w:p>
    <w:p>
      <w:pPr>
        <w:pStyle w:val="P15"/>
        <w:ind w:left="561"/>
        <w:jc w:val="both"/>
        <w:rPr>
          <w:rStyle w:val="C3"/>
          <w:b w:val="1"/>
          <w:u w:val="none"/>
        </w:rPr>
      </w:pPr>
    </w:p>
    <w:p>
      <w:pPr>
        <w:pStyle w:val="P15"/>
        <w:ind w:left="561"/>
        <w:jc w:val="both"/>
        <w:rPr>
          <w:rStyle w:val="C3"/>
          <w:b w:val="1"/>
          <w:u w:val="none"/>
        </w:rPr>
      </w:pPr>
      <w:r>
        <w:rPr>
          <w:rStyle w:val="C3"/>
          <w:b w:val="0"/>
          <w:u w:val="none"/>
        </w:rPr>
        <w:t>Que a la vez el Departamento</w:t>
      </w:r>
      <w:r>
        <w:rPr>
          <w:rStyle w:val="C3"/>
          <w:b w:val="0"/>
          <w:u w:val="none"/>
        </w:rPr>
        <w:t xml:space="preserve"> Ejecutivo en reuniones mantenidas con autoridades del Ministerio de Obras y Servicios </w:t>
      </w:r>
      <w:r>
        <w:rPr>
          <w:rStyle w:val="C3"/>
          <w:b w:val="0"/>
          <w:u w:val="none"/>
        </w:rPr>
        <w:t>Públicos de la Provincia de Córdoba</w:t>
      </w:r>
      <w:r>
        <w:rPr>
          <w:rStyle w:val="C3"/>
          <w:b w:val="0"/>
          <w:u w:val="none"/>
        </w:rPr>
        <w:t xml:space="preserve">, acordó </w:t>
      </w:r>
      <w:r>
        <w:rPr>
          <w:rStyle w:val="C3"/>
          <w:b w:val="0"/>
          <w:u w:val="none"/>
        </w:rPr>
        <w:t xml:space="preserve">que con </w:t>
      </w:r>
      <w:r>
        <w:rPr>
          <w:rStyle w:val="C3"/>
          <w:b w:val="0"/>
          <w:u w:val="none"/>
        </w:rPr>
        <w:t xml:space="preserve">solo </w:t>
      </w:r>
      <w:r>
        <w:rPr>
          <w:rStyle w:val="C3"/>
          <w:b w:val="0"/>
          <w:u w:val="none"/>
        </w:rPr>
        <w:t xml:space="preserve">la </w:t>
      </w:r>
      <w:r>
        <w:rPr>
          <w:rStyle w:val="C3"/>
          <w:b w:val="0"/>
          <w:u w:val="none"/>
        </w:rPr>
        <w:t>cesión de dichos</w:t>
      </w:r>
      <w:r>
        <w:rPr>
          <w:rStyle w:val="C3"/>
          <w:b w:val="0"/>
          <w:u w:val="none"/>
        </w:rPr>
        <w:t xml:space="preserve"> derechos posesorios</w:t>
      </w:r>
      <w:r>
        <w:rPr>
          <w:rStyle w:val="C3"/>
          <w:b w:val="0"/>
          <w:u w:val="none"/>
        </w:rPr>
        <w:t xml:space="preserve">, </w:t>
      </w:r>
    </w:p>
    <w:p>
      <w:pPr>
        <w:pStyle w:val="P15"/>
        <w:ind w:left="561"/>
        <w:jc w:val="right"/>
        <w:rPr>
          <w:rStyle w:val="C3"/>
          <w:b w:val="1"/>
          <w:u w:val="none"/>
        </w:rPr>
      </w:pPr>
      <w:r>
        <w:rPr>
          <w:rStyle w:val="C3"/>
          <w:rFonts w:ascii="Courier New" w:hAnsi="Courier New"/>
        </w:rPr>
        <w:t>...///</w:t>
      </w:r>
    </w:p>
    <w:p>
      <w:pPr>
        <w:pStyle w:val="P15"/>
        <w:ind w:left="561"/>
        <w:jc w:val="both"/>
        <w:rPr>
          <w:rStyle w:val="C3"/>
          <w:b w:val="1"/>
          <w:u w:val="none"/>
        </w:rPr>
      </w:pPr>
    </w:p>
    <w:p>
      <w:pPr>
        <w:pStyle w:val="P15"/>
        <w:ind w:left="561"/>
        <w:jc w:val="both"/>
        <w:rPr>
          <w:rStyle w:val="C3"/>
          <w:b w:val="1"/>
          <w:u w:val="none"/>
        </w:rPr>
      </w:pPr>
    </w:p>
    <w:p>
      <w:pPr>
        <w:pStyle w:val="P15"/>
        <w:ind w:left="561"/>
        <w:jc w:val="both"/>
        <w:rPr>
          <w:rStyle w:val="C3"/>
          <w:b w:val="1"/>
          <w:u w:val="none"/>
        </w:rPr>
      </w:pPr>
    </w:p>
    <w:p>
      <w:pPr>
        <w:pStyle w:val="P15"/>
        <w:ind w:left="561"/>
        <w:jc w:val="both"/>
        <w:rPr>
          <w:rStyle w:val="C3"/>
          <w:b w:val="1"/>
          <w:u w:val="none"/>
        </w:rPr>
      </w:pPr>
    </w:p>
    <w:p>
      <w:pPr>
        <w:pStyle w:val="P15"/>
        <w:ind w:left="561"/>
        <w:rPr>
          <w:rStyle w:val="C3"/>
          <w:rFonts w:ascii="JaneAusten" w:hAnsi="JaneAusten"/>
          <w:b w:val="1"/>
          <w:u w:val="none"/>
        </w:rPr>
      </w:pPr>
    </w:p>
    <w:p>
      <w:pPr>
        <w:pStyle w:val="P15"/>
        <w:ind w:left="561"/>
        <w:rPr>
          <w:rStyle w:val="C3"/>
          <w:b w:val="1"/>
          <w:u w:val="none"/>
        </w:rPr>
      </w:pPr>
      <w:r>
        <w:rPr>
          <w:rStyle w:val="C3"/>
          <w:rFonts w:ascii="JaneAusten" w:hAnsi="JaneAusten"/>
        </w:rPr>
        <w:t>“Año del Cincuentenario de la Asociación y del Cuerpo de Bomberos Voluntarios de la Ciudad”</w:t>
      </w:r>
    </w:p>
    <w:p>
      <w:pPr>
        <w:pStyle w:val="P15"/>
        <w:ind w:left="561"/>
        <w:jc w:val="both"/>
        <w:rPr>
          <w:rStyle w:val="C3"/>
          <w:b w:val="1"/>
          <w:u w:val="none"/>
        </w:rPr>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...///2.-</w:t>
      </w:r>
    </w:p>
    <w:p>
      <w:pPr>
        <w:ind w:hanging="561" w:left="561"/>
        <w:jc w:val="both"/>
        <w:rPr>
          <w:rStyle w:val="C3"/>
          <w:rFonts w:ascii="Courier New" w:hAnsi="Courier New"/>
        </w:rPr>
      </w:pPr>
    </w:p>
    <w:p>
      <w:pPr>
        <w:ind w:left="561"/>
        <w:jc w:val="both"/>
        <w:rPr>
          <w:rStyle w:val="C3"/>
          <w:rFonts w:ascii="Courier New" w:hAnsi="Courier New"/>
        </w:rPr>
      </w:pPr>
      <w:r>
        <w:rPr>
          <w:rStyle w:val="C3"/>
          <w:b w:val="1"/>
          <w:u w:val="none"/>
        </w:rPr>
        <w:t>por parte de</w:t>
      </w:r>
      <w:r>
        <w:rPr>
          <w:rStyle w:val="C3"/>
          <w:rFonts w:ascii="Courier New" w:hAnsi="Courier New"/>
        </w:rPr>
        <w:t xml:space="preserve"> la Municipalidad al Arzobispado de Córdoba, sería suficiente y necesario para poder dar curso al proyecto de construcción del nuevo edificio del Colegio Parroquial “El Obraje” en ese lugar;</w:t>
      </w:r>
    </w:p>
    <w:p>
      <w:pPr>
        <w:ind w:hanging="561"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teniendo en cuenta  que para la construcción de las Escuelas Primarias por parte del Gobierno de la Provincia son necesarios 5000 m2 de superficie mínima, esta Comisión considera como suficiente para el emprendimiento que nos ocupa, la cantidad de 13.394 m2 de superficie, de acuerdo a croquis adjunto;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actualmente esta Institución Educativa se encuentra funcionando en el antiguo Obraje de la Estancia Jesuítica, el cual forma parte del conjunto declarado Patrimonio de la Humanidad por la UNESCO; </w:t>
      </w:r>
    </w:p>
    <w:p>
      <w:pPr>
        <w:jc w:val="both"/>
        <w:rPr>
          <w:rStyle w:val="C3"/>
          <w:rFonts w:ascii="Courier New" w:hAnsi="Courier New"/>
          <w:b w:val="1"/>
        </w:rPr>
      </w:pPr>
    </w:p>
    <w:p>
      <w:pPr>
        <w:pStyle w:val="P8"/>
        <w:ind w:left="561"/>
      </w:pPr>
      <w:r>
        <w:t xml:space="preserve">Que las instalaciones utilizadas actualmente presentan dificultades para proveer el crecimiento edilicio, tanto lateral como verticalmente por estar en la zona de Primer Orden (Ordenanza Nº 4518) y por otra parte es conveniente integrar dichas dependencias históricas al circuito turístico dispuesto para los visitantes de nuestra Ciudad, mostrando allí una interpretación de lo que fuera el trabajo en la antigua estancia, especialmente en lo textil, herrería y carpintería; </w:t>
      </w:r>
    </w:p>
    <w:p>
      <w:pPr>
        <w:pStyle w:val="P8"/>
        <w:ind w:left="561"/>
      </w:pPr>
    </w:p>
    <w:p>
      <w:pPr>
        <w:ind w:left="561"/>
        <w:jc w:val="both"/>
        <w:rPr>
          <w:rStyle w:val="C3"/>
          <w:rFonts w:ascii="Courier New" w:hAnsi="Courier New"/>
        </w:rPr>
      </w:pPr>
      <w:r>
        <w:rPr>
          <w:rStyle w:val="C3"/>
          <w:rFonts w:ascii="Courier New" w:hAnsi="Courier New"/>
        </w:rPr>
        <w:t>Que lo solicitado posibilitará desarrollar un proyecto que contemple dependencias deportivas e instalaciones de talleres modelos de acuerdo a normas internacionales como lo exige el Plan de implementación y mejoras de las Escuelas Técnicas, impulsado desde el Ministerio de Educación de la Nación, permitiendo así la expansión de la oferta educativa;</w:t>
      </w:r>
    </w:p>
    <w:p>
      <w:pPr>
        <w:jc w:val="right"/>
        <w:rPr>
          <w:rStyle w:val="C3"/>
          <w:rFonts w:ascii="Courier New" w:hAnsi="Courier New"/>
          <w:b w:val="1"/>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9"/>
        <w:ind w:left="0"/>
        <w:jc w:val="center"/>
        <w:rPr>
          <w:rStyle w:val="C3"/>
          <w:rFonts w:ascii="JaneAusten" w:hAnsi="JaneAusten"/>
        </w:rPr>
      </w:pPr>
      <w:r>
        <w:rPr>
          <w:rStyle w:val="C3"/>
          <w:rFonts w:ascii="JaneAusten" w:hAnsi="JaneAusten"/>
        </w:rPr>
        <w:t>“Año del Cincuentenario de la Asociación y del Cuerpo de Bomberos</w:t>
      </w:r>
    </w:p>
    <w:p>
      <w:pPr>
        <w:jc w:val="center"/>
        <w:rPr>
          <w:rStyle w:val="C3"/>
          <w:rFonts w:ascii="Courier New" w:hAnsi="Courier New"/>
          <w:b w:val="1"/>
        </w:rPr>
      </w:pPr>
      <w:r>
        <w:rPr>
          <w:rStyle w:val="C3"/>
          <w:rFonts w:ascii="JaneAusten" w:hAnsi="JaneAusten"/>
        </w:rPr>
        <w:t>Voluntarios de la Ciudad”</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...///3.-</w:t>
      </w:r>
    </w:p>
    <w:p>
      <w:pPr>
        <w:jc w:val="both"/>
        <w:rPr>
          <w:rStyle w:val="C3"/>
          <w:rFonts w:ascii="Courier New" w:hAnsi="Courier New"/>
          <w:b w:val="1"/>
        </w:rPr>
      </w:pPr>
    </w:p>
    <w:p>
      <w:pPr>
        <w:ind w:left="561"/>
        <w:jc w:val="both"/>
        <w:rPr>
          <w:rStyle w:val="C3"/>
          <w:rFonts w:ascii="Courier New" w:hAnsi="Courier New"/>
        </w:rPr>
      </w:pPr>
      <w:r>
        <w:rPr>
          <w:rStyle w:val="C3"/>
          <w:rFonts w:ascii="Courier New" w:hAnsi="Courier New"/>
        </w:rPr>
        <w:t>Que el día 28 de mayo de 2008 el Honorable Concejo Deliberante, mediante Resolución N° 015, resuelve respaldar las gestiones que en forma conjunta realizan el Departamento Ejecutivo y el Nodo de Patrimonio conformado mediante Ordenanza N° 7234, tendientes a lograr la integración definitiva de “El Obraje” al Casco Histórico;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bloque Ari-Socialismo, el día 06/10/08 presentó Proyecto de Ordenanza para ver factibilidad de cesión gratuita de terreno en predio “ Potrero de Loyola” para la reubicación del Colegio Parroquial “El Obraje”;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08 de Julio de 2009;</w:t>
      </w:r>
    </w:p>
    <w:p>
      <w:pPr>
        <w:jc w:val="both"/>
        <w:rPr>
          <w:rStyle w:val="C3"/>
          <w:rFonts w:ascii="Courier New" w:hAnsi="Courier New"/>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al Departamento Ejecutivo a ceder en forma gratuita los derechos y acciones que tuviere o le pudieren corresponder a la Municipalidad de Alta Gracia sobre la parcela determinada por los puntos A, B, C y D, que resulte de una posterior mensura y subdivisión de 13.394 m2, de acuerdo a croquis que se adjunta y forma parte del presente, ubicada en el sector sud-este correspondiente a una mayor superficie del Inmueble denominado “Potrero de Loyola” (Ordenanza Nº 8206) cuya Designación Catastral es 01-01-442-001, al Arzobispado de Córdoba, para la relocalización del actual Colegio Parroquial El Obraje.-</w:t>
      </w:r>
    </w:p>
    <w:p>
      <w:pPr>
        <w:pStyle w:val="P9"/>
        <w:ind w:left="0"/>
        <w:rPr>
          <w:rStyle w:val="C3"/>
          <w:b w:val="1"/>
          <w:u w:val="single"/>
        </w:rPr>
      </w:pPr>
      <w:r>
        <w:t>...///</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pStyle w:val="P9"/>
        <w:ind w:left="0"/>
        <w:jc w:val="center"/>
        <w:rPr>
          <w:rStyle w:val="C3"/>
          <w:rFonts w:ascii="JaneAusten" w:hAnsi="JaneAusten"/>
        </w:rPr>
      </w:pPr>
      <w:r>
        <w:rPr>
          <w:rStyle w:val="C3"/>
          <w:rFonts w:ascii="JaneAusten" w:hAnsi="JaneAusten"/>
        </w:rPr>
        <w:t>“Año del Cincuentenario de la Asociación y del Cuerpo de Bomberos</w:t>
      </w:r>
    </w:p>
    <w:p>
      <w:pPr>
        <w:jc w:val="center"/>
        <w:rPr>
          <w:rStyle w:val="C3"/>
          <w:rFonts w:ascii="Courier New" w:hAnsi="Courier New"/>
          <w:b w:val="1"/>
        </w:rPr>
      </w:pPr>
      <w:r>
        <w:rPr>
          <w:rStyle w:val="C3"/>
          <w:rFonts w:ascii="JaneAusten" w:hAnsi="JaneAusten"/>
        </w:rPr>
        <w:t>Voluntarios de la Ciudad”</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561" w:left="561"/>
        <w:jc w:val="both"/>
        <w:rPr>
          <w:rStyle w:val="C3"/>
          <w:rFonts w:ascii="Courier New" w:hAnsi="Courier New"/>
          <w:b w:val="1"/>
          <w:u w:val="single"/>
        </w:rPr>
      </w:pPr>
      <w:r>
        <w:rPr>
          <w:rStyle w:val="C3"/>
          <w:rFonts w:ascii="Courier New" w:hAnsi="Courier New"/>
        </w:rPr>
        <w:t>...///4.-</w:t>
      </w:r>
    </w:p>
    <w:p>
      <w:pPr>
        <w:jc w:val="both"/>
        <w:rPr>
          <w:rStyle w:val="C3"/>
          <w:rFonts w:ascii="Courier New" w:hAnsi="Courier New"/>
          <w:b w:val="1"/>
          <w:u w:val="single"/>
        </w:rPr>
      </w:pPr>
    </w:p>
    <w:p>
      <w:pPr>
        <w:ind w:hanging="561" w:left="561"/>
        <w:jc w:val="both"/>
        <w:rPr>
          <w:rStyle w:val="C3"/>
          <w:sz w:val="28"/>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DEBERÁ</w:t>
      </w:r>
      <w:r>
        <w:rPr>
          <w:rStyle w:val="C3"/>
          <w:rFonts w:ascii="Courier New" w:hAnsi="Courier New"/>
        </w:rPr>
        <w:t xml:space="preserve"> el Departamento Ejecutivo conjuntamente con el Arzobispado de Córdoba, en virtud de la colaboración puesta de manifiesto por el mismo, continuar realizando las gestiones necesarias a fin de lograr la inscripción  dominial definitiva en el Registro General de la Propiedad de Córdoba, de todo el predio “Potrero de Loyola” a nombre de la Municipalidad de Alta gracia.-</w:t>
      </w:r>
    </w:p>
    <w:p>
      <w:pPr>
        <w:pStyle w:val="P9"/>
        <w:ind w:left="0"/>
        <w:rPr>
          <w:rStyle w:val="C3"/>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OCHO DÍAS DEL MES DE JULIO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paragraph" w:styleId="P18">
    <w:name w:val="Remite de sobre"/>
    <w:basedOn w:val="P0"/>
    <w:next w:val="P18"/>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2009-07-16T23:38:00Z</dcterms:created>
  <cp:lastModifiedBy>Ethan Puglia</cp:lastModifiedBy>
  <cp:lastPrinted>2009-07-17T00:58:00Z</cp:lastPrinted>
  <dcterms:modified xsi:type="dcterms:W3CDTF">2019-03-28T17:34:13Z</dcterms:modified>
  <cp:revision>13</cp:revision>
  <dc:title>PROYECTO DE ORDENANZA VIOLENCIA FAMILIAR</dc:title>
</cp:coreProperties>
</file>