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441A7BB" Type="http://schemas.openxmlformats.org/officeDocument/2006/relationships/officeDocument" Target="/word/document.xml" /><Relationship Id="coreR1441A7BB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4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4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4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4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N° 8429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N° 2477/00 iniciado por la Sra. Minne Alicia Adriana; y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jc w:val="both"/>
        <w:rPr>
          <w:rStyle w:val="C3"/>
          <w:rFonts w:ascii="Courier New" w:hAnsi="Courier New"/>
        </w:rPr>
      </w:pPr>
    </w:p>
    <w:p>
      <w:pPr>
        <w:pStyle w:val="P9"/>
        <w:ind w:left="561"/>
        <w:rPr>
          <w:rStyle w:val="C3"/>
        </w:rPr>
      </w:pPr>
    </w:p>
    <w:p>
      <w:pPr>
        <w:pStyle w:val="P9"/>
        <w:ind w:left="561"/>
      </w:pPr>
      <w:r>
        <w:t>Que la Sra. Minne Alicia Adriana ha presentado una nota dirigida al Intendente Municipal solicitando una prórroga para terminar de construir;</w:t>
      </w:r>
    </w:p>
    <w:p>
      <w:pPr>
        <w:pStyle w:val="P9"/>
        <w:ind w:left="561"/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Que, entre otros motivos, manifiesta que no ha podido seguir construyendo debido a que no cuenta con recursos;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pStyle w:val="P16"/>
        <w:ind w:left="561"/>
        <w:jc w:val="both"/>
        <w:rPr>
          <w:rStyle w:val="C3"/>
          <w:b w:val="1"/>
          <w:u w:val="none"/>
        </w:rPr>
      </w:pPr>
      <w:r>
        <w:rPr>
          <w:rStyle w:val="C3"/>
          <w:b w:val="0"/>
          <w:u w:val="none"/>
        </w:rPr>
        <w:t xml:space="preserve">Que del análisis del </w:t>
      </w:r>
      <w:r>
        <w:rPr>
          <w:rStyle w:val="C3"/>
          <w:b w:val="0"/>
          <w:u w:val="none"/>
        </w:rPr>
        <w:t>E</w:t>
      </w:r>
      <w:r>
        <w:rPr>
          <w:rStyle w:val="C3"/>
          <w:b w:val="0"/>
          <w:u w:val="none"/>
        </w:rPr>
        <w:t>xpediente, surge que la beneficiaria, ha regularizado las tasas por servicios a la propiedad impagas, en las condiciones exigidas por el Art. 4</w:t>
      </w:r>
      <w:r>
        <w:rPr>
          <w:rStyle w:val="C3"/>
          <w:b w:val="0"/>
          <w:u w:val="none"/>
        </w:rPr>
        <w:t>°</w:t>
      </w:r>
      <w:r>
        <w:rPr>
          <w:rStyle w:val="C3"/>
          <w:b w:val="0"/>
          <w:u w:val="none"/>
        </w:rPr>
        <w:t xml:space="preserve"> de la Ordenanza </w:t>
      </w:r>
      <w:r>
        <w:rPr>
          <w:rStyle w:val="C3"/>
          <w:b w:val="0"/>
          <w:u w:val="none"/>
        </w:rPr>
        <w:t xml:space="preserve">N° </w:t>
      </w:r>
      <w:r>
        <w:rPr>
          <w:rStyle w:val="C3"/>
          <w:b w:val="0"/>
          <w:u w:val="none"/>
        </w:rPr>
        <w:t>6773;</w:t>
      </w:r>
    </w:p>
    <w:p>
      <w:pPr>
        <w:pStyle w:val="P16"/>
        <w:ind w:left="561"/>
        <w:jc w:val="both"/>
        <w:rPr>
          <w:rStyle w:val="C3"/>
          <w:b w:val="1"/>
          <w:u w:val="none"/>
        </w:rPr>
      </w:pPr>
    </w:p>
    <w:p>
      <w:pPr>
        <w:pStyle w:val="P16"/>
        <w:ind w:left="561"/>
        <w:jc w:val="both"/>
        <w:rPr>
          <w:rStyle w:val="C3"/>
          <w:b w:val="1"/>
          <w:u w:val="none"/>
        </w:rPr>
      </w:pPr>
      <w:r>
        <w:rPr>
          <w:rStyle w:val="C3"/>
          <w:b w:val="0"/>
          <w:u w:val="none"/>
        </w:rPr>
        <w:t>Q</w:t>
      </w:r>
      <w:r>
        <w:rPr>
          <w:rStyle w:val="C3"/>
          <w:b w:val="0"/>
          <w:u w:val="none"/>
        </w:rPr>
        <w:t>ue es necesario que la beneficiaria cumpla con la carga exigida y regularice la situación tributaria;</w:t>
      </w:r>
    </w:p>
    <w:p>
      <w:pPr>
        <w:pStyle w:val="P16"/>
        <w:ind w:left="561"/>
        <w:jc w:val="both"/>
        <w:rPr>
          <w:rStyle w:val="C3"/>
          <w:b w:val="1"/>
          <w:u w:val="none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Legislación General, se emite despacho favorable, aprobado por unanimidad en Sesión Ordinaria del día 22 de Julio de 2009;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</w:rPr>
        <w:t>ALTA GRACIA SANCIONA CON FUERZA DE ORDENANZA</w:t>
      </w:r>
    </w:p>
    <w:p>
      <w:pPr>
        <w:pStyle w:val="P16"/>
        <w:ind w:left="561"/>
        <w:jc w:val="right"/>
        <w:rPr>
          <w:rStyle w:val="C3"/>
          <w:b w:val="1"/>
          <w:u w:val="none"/>
        </w:rPr>
      </w:pPr>
    </w:p>
    <w:p>
      <w:pPr>
        <w:pStyle w:val="P16"/>
        <w:ind w:left="561"/>
        <w:jc w:val="right"/>
        <w:rPr>
          <w:rStyle w:val="C3"/>
          <w:b w:val="1"/>
          <w:u w:val="none"/>
        </w:rPr>
      </w:pPr>
      <w:r>
        <w:rPr>
          <w:rStyle w:val="C3"/>
          <w:b w:val="0"/>
          <w:u w:val="none"/>
        </w:rPr>
        <w:t>...///</w:t>
      </w:r>
    </w:p>
    <w:p>
      <w:pPr>
        <w:pStyle w:val="P16"/>
        <w:ind w:left="561"/>
        <w:jc w:val="both"/>
        <w:rPr>
          <w:rStyle w:val="C3"/>
          <w:b w:val="1"/>
          <w:u w:val="none"/>
        </w:rPr>
      </w:pPr>
    </w:p>
    <w:p>
      <w:pPr>
        <w:pStyle w:val="P16"/>
        <w:ind w:left="561"/>
        <w:jc w:val="both"/>
        <w:rPr>
          <w:rStyle w:val="C3"/>
          <w:b w:val="1"/>
          <w:u w:val="none"/>
        </w:rPr>
      </w:pPr>
    </w:p>
    <w:p>
      <w:pPr>
        <w:pStyle w:val="P16"/>
        <w:ind w:left="561"/>
        <w:jc w:val="both"/>
        <w:rPr>
          <w:rStyle w:val="C3"/>
          <w:b w:val="1"/>
          <w:u w:val="none"/>
        </w:rPr>
      </w:pPr>
    </w:p>
    <w:p>
      <w:pPr>
        <w:pStyle w:val="P16"/>
        <w:ind w:left="561"/>
        <w:jc w:val="both"/>
        <w:rPr>
          <w:rStyle w:val="C3"/>
          <w:b w:val="1"/>
          <w:u w:val="none"/>
        </w:rPr>
      </w:pPr>
    </w:p>
    <w:p>
      <w:pPr>
        <w:pStyle w:val="P16"/>
        <w:ind w:left="561"/>
        <w:rPr>
          <w:rStyle w:val="C3"/>
          <w:rFonts w:ascii="JaneAusten" w:hAnsi="JaneAusten"/>
          <w:b w:val="1"/>
          <w:u w:val="none"/>
        </w:rPr>
      </w:pPr>
    </w:p>
    <w:p>
      <w:pPr>
        <w:pStyle w:val="P16"/>
        <w:ind w:left="561"/>
        <w:rPr>
          <w:rStyle w:val="C3"/>
          <w:b w:val="1"/>
          <w:u w:val="none"/>
        </w:rPr>
      </w:pPr>
      <w:r>
        <w:rPr>
          <w:rStyle w:val="C3"/>
          <w:rFonts w:ascii="JaneAusten" w:hAnsi="JaneAusten"/>
          <w:b w:val="0"/>
          <w:u w:val="none"/>
        </w:rPr>
        <w:t>“Año del Cincuentenario de la Asociación y del Cuerpo de Bomberos Voluntarios de la Ciudad”</w:t>
      </w:r>
    </w:p>
    <w:p>
      <w:pPr>
        <w:pStyle w:val="P16"/>
        <w:ind w:left="561"/>
        <w:jc w:val="both"/>
        <w:rPr>
          <w:rStyle w:val="C3"/>
          <w:b w:val="1"/>
          <w:u w:val="none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jc w:val="right"/>
        <w:rPr>
          <w:rStyle w:val="C3"/>
          <w:rFonts w:ascii="Courier New" w:hAnsi="Courier New"/>
          <w:b w:val="1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PRORRÓGASE</w:t>
      </w:r>
      <w:r>
        <w:rPr>
          <w:rStyle w:val="C3"/>
          <w:rFonts w:ascii="Courier New" w:hAnsi="Courier New"/>
        </w:rPr>
        <w:t xml:space="preserve"> el plazo establecido en el Artículo 2° de la Ordenanza Nº 6773, por el término de DIECIOCHO (18) meses, a la Sra. Minne Alicia Adriana D.N.I 22.793.998, a partir de la promulgación de la presente.-  </w:t>
      </w:r>
    </w:p>
    <w:p>
      <w:pPr>
        <w:pStyle w:val="P10"/>
        <w:ind w:left="0"/>
        <w:rPr>
          <w:rStyle w:val="C3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>: PROTOCOLÍCESE</w:t>
      </w:r>
      <w:r>
        <w:rPr>
          <w:rStyle w:val="C3"/>
          <w:rFonts w:ascii="Courier New" w:hAnsi="Courier New"/>
        </w:rPr>
        <w:t>, Comuníquese, publíquese la presente Ordenanza en el Boletín Oficial de la Municipalidad de Alta Gracia, transcríbase al libro de Ordenanzas y archívese.-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15"/>
      </w:pPr>
      <w:r>
        <w:t>DADA EN LA SALA DE SESIONES DEL HONORABLE CONCEJO DELIBERANTE A VEINTIDOS DÍAS DEL MES DE JULIO DEL AÑO DOS MIL NUEVE.-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sectPr>
      <w:type w:val="nextPage"/>
      <w:pgSz w:w="11906" w:h="16838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102455E3"/>
    <w:multiLevelType w:val="multilevel"/>
    <w:lvl w:ilvl="0">
      <w:start w:val="1"/>
      <w:numFmt w:val="decimal"/>
      <w:suff w:val="tab"/>
      <w:lvlText w:val="%1)"/>
      <w:lvlJc w:val="left"/>
      <w:pPr>
        <w:ind w:hanging="465" w:left="465"/>
        <w:tabs>
          <w:tab w:val="left" w:pos="46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249C22AF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41826BF2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">
    <w:nsid w:val="5F686B55"/>
    <w:multiLevelType w:val="multilevel"/>
    <w:lvl w:ilvl="0">
      <w:start w:val="1"/>
      <w:numFmt w:val="lowerLetter"/>
      <w:suff w:val="tab"/>
      <w:lvlText w:val="%1)"/>
      <w:lvlJc w:val="left"/>
      <w:pPr>
        <w:ind w:hanging="435" w:left="996"/>
        <w:tabs>
          <w:tab w:val="left" w:pos="996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67F01EFA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6FCB7CE4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  <w:num w:numId="6">
    <w:abstractNumId w:val="5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exto independiente"/>
    <w:basedOn w:val="P0"/>
    <w:next w:val="P9"/>
    <w:pPr>
      <w:jc w:val="both"/>
    </w:pPr>
    <w:rPr>
      <w:rFonts w:ascii="Courier New" w:hAnsi="Courier New"/>
    </w:rPr>
  </w:style>
  <w:style w:type="paragraph" w:styleId="P10">
    <w:name w:val="Sangría de t. independiente"/>
    <w:basedOn w:val="P0"/>
    <w:next w:val="P10"/>
    <w:pPr>
      <w:ind w:left="748"/>
      <w:jc w:val="both"/>
    </w:pPr>
    <w:rPr>
      <w:rFonts w:ascii="Courier New" w:hAnsi="Courier New"/>
    </w:rPr>
  </w:style>
  <w:style w:type="paragraph" w:styleId="P11">
    <w:name w:val="Sangría 2 de t. independiente"/>
    <w:basedOn w:val="P0"/>
    <w:next w:val="P11"/>
    <w:pPr>
      <w:ind w:hanging="748" w:left="748"/>
      <w:jc w:val="both"/>
    </w:pPr>
    <w:rPr>
      <w:rFonts w:ascii="Courier New" w:hAnsi="Courier New"/>
    </w:rPr>
  </w:style>
  <w:style w:type="paragraph" w:styleId="P12">
    <w:name w:val="Sangría 3 de t. independiente"/>
    <w:basedOn w:val="P0"/>
    <w:next w:val="P12"/>
    <w:pPr>
      <w:ind w:left="748"/>
      <w:jc w:val="both"/>
    </w:pPr>
    <w:rPr>
      <w:rFonts w:ascii="Courier New" w:hAnsi="Courier New"/>
      <w:b w:val="1"/>
    </w:rPr>
  </w:style>
  <w:style w:type="paragraph" w:styleId="P13">
    <w:name w:val="Encabezado"/>
    <w:basedOn w:val="P0"/>
    <w:next w:val="P13"/>
    <w:pPr>
      <w:tabs>
        <w:tab w:val="center" w:pos="4252" w:leader="none"/>
        <w:tab w:val="right" w:pos="8504" w:leader="none"/>
      </w:tabs>
    </w:pPr>
    <w:rPr/>
  </w:style>
  <w:style w:type="paragraph" w:styleId="P14">
    <w:name w:val="Texto independiente 2"/>
    <w:basedOn w:val="P0"/>
    <w:next w:val="P14"/>
    <w:pPr/>
    <w:rPr>
      <w:rFonts w:ascii="Arial" w:hAnsi="Arial"/>
      <w:b w:val="1"/>
      <w:sz w:val="28"/>
    </w:rPr>
  </w:style>
  <w:style w:type="paragraph" w:styleId="P15">
    <w:name w:val="Texto independiente 3"/>
    <w:basedOn w:val="P0"/>
    <w:next w:val="P15"/>
    <w:pPr>
      <w:jc w:val="both"/>
    </w:pPr>
    <w:rPr>
      <w:rFonts w:ascii="Courier New" w:hAnsi="Courier New"/>
      <w:b w:val="1"/>
    </w:rPr>
  </w:style>
  <w:style w:type="paragraph" w:styleId="P16">
    <w:name w:val="Título"/>
    <w:basedOn w:val="P0"/>
    <w:next w:val="P16"/>
    <w:pPr>
      <w:jc w:val="center"/>
    </w:pPr>
    <w:rPr>
      <w:rFonts w:ascii="Courier New" w:hAnsi="Courier New"/>
      <w:b w:val="1"/>
      <w:u w:val="single"/>
    </w:rPr>
  </w:style>
  <w:style w:type="paragraph" w:styleId="P17">
    <w:name w:val="Normal (Web)"/>
    <w:basedOn w:val="P0"/>
    <w:next w:val="P17"/>
    <w:pPr>
      <w:spacing w:before="100" w:after="100"/>
    </w:pPr>
    <w:rPr/>
  </w:style>
  <w:style w:type="paragraph" w:styleId="P18">
    <w:name w:val="Texto sin formato"/>
    <w:basedOn w:val="P0"/>
    <w:next w:val="P18"/>
    <w:pPr/>
    <w:rPr>
      <w:rFonts w:ascii="Courier New" w:hAnsi="Courier New"/>
      <w:sz w:val="20"/>
    </w:rPr>
  </w:style>
  <w:style w:type="paragraph" w:styleId="P19">
    <w:name w:val="Remite de sobre"/>
    <w:basedOn w:val="P0"/>
    <w:next w:val="P19"/>
    <w:pPr>
      <w:jc w:val="both"/>
    </w:pPr>
    <w:rPr>
      <w:rFonts w:ascii="Benguiat Bk BT" w:hAnsi="Benguiat Bk BT"/>
      <w:b w:val="1"/>
      <w:i w:val="1"/>
      <w:u w:val="single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rPr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2009-07-24T01:01:00Z</dcterms:created>
  <cp:lastModifiedBy>Ethan Puglia</cp:lastModifiedBy>
  <cp:lastPrinted>2009-07-24T00:51:00Z</cp:lastPrinted>
  <dcterms:modified xsi:type="dcterms:W3CDTF">2019-03-28T17:34:13Z</dcterms:modified>
  <cp:revision>12</cp:revision>
  <dc:title>PROYECTO DE ORDENANZA VIOLENCIA FAMILIAR</dc:title>
</cp:coreProperties>
</file>