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C6C98FF" Type="http://schemas.openxmlformats.org/officeDocument/2006/relationships/officeDocument" Target="/word/document.xml" /><Relationship Id="coreR2C6C98FF"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4"/>
        <w:ind w:left="113"/>
        <w:jc w:val="center"/>
        <w:rPr>
          <w:rStyle w:val="C3"/>
          <w:rFonts w:ascii="Courier New" w:hAnsi="Courier New"/>
          <w:b w:val="1"/>
          <w:sz w:val="24"/>
        </w:rPr>
      </w:pPr>
    </w:p>
    <w:p>
      <w:pPr>
        <w:pStyle w:val="P14"/>
        <w:ind w:left="113"/>
        <w:jc w:val="center"/>
        <w:rPr>
          <w:rStyle w:val="C3"/>
          <w:rFonts w:ascii="Courier New" w:hAnsi="Courier New"/>
          <w:b w:val="1"/>
          <w:sz w:val="24"/>
        </w:rPr>
      </w:pPr>
    </w:p>
    <w:p>
      <w:pPr>
        <w:pStyle w:val="P14"/>
        <w:ind w:left="113"/>
        <w:jc w:val="center"/>
        <w:rPr>
          <w:rStyle w:val="C3"/>
          <w:rFonts w:ascii="Courier New" w:hAnsi="Courier New"/>
          <w:b w:val="1"/>
          <w:sz w:val="24"/>
        </w:rPr>
      </w:pPr>
    </w:p>
    <w:p>
      <w:pPr>
        <w:pStyle w:val="P14"/>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u w:val="single"/>
        </w:rPr>
      </w:pPr>
    </w:p>
    <w:p>
      <w:pPr>
        <w:jc w:val="both"/>
        <w:rPr>
          <w:rStyle w:val="C3"/>
          <w:rFonts w:ascii="Courier New" w:hAnsi="Courier New"/>
          <w:u w:val="single"/>
        </w:rPr>
      </w:pPr>
    </w:p>
    <w:p>
      <w:pPr>
        <w:pStyle w:val="P4"/>
        <w:rPr>
          <w:rStyle w:val="C3"/>
        </w:rPr>
      </w:pPr>
    </w:p>
    <w:p>
      <w:pPr>
        <w:pStyle w:val="P4"/>
      </w:pPr>
      <w:r>
        <w:t>ORDENANZA N° 8434</w:t>
      </w:r>
    </w:p>
    <w:p>
      <w:pPr>
        <w:jc w:val="both"/>
        <w:rPr>
          <w:rStyle w:val="C3"/>
          <w:rFonts w:ascii="Courier New" w:hAnsi="Courier New"/>
        </w:rPr>
      </w:pPr>
    </w:p>
    <w:p>
      <w:pPr>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El Expediente Nº 1183/01; y</w:t>
      </w:r>
    </w:p>
    <w:p>
      <w:pPr>
        <w:jc w:val="both"/>
        <w:rPr>
          <w:rStyle w:val="C3"/>
          <w:rFonts w:ascii="Courier New" w:hAnsi="Courier New"/>
        </w:rPr>
      </w:pPr>
    </w:p>
    <w:p>
      <w:pPr>
        <w:jc w:val="both"/>
        <w:rPr>
          <w:rStyle w:val="C3"/>
          <w:rFonts w:ascii="Courier New" w:hAnsi="Courier New"/>
        </w:rPr>
      </w:pPr>
    </w:p>
    <w:p>
      <w:pPr>
        <w:pStyle w:val="P2"/>
      </w:pPr>
      <w:r>
        <w:t>C O N S I D E R A N D O</w:t>
      </w:r>
    </w:p>
    <w:p>
      <w:pPr>
        <w:jc w:val="both"/>
        <w:rPr>
          <w:rStyle w:val="C3"/>
          <w:rFonts w:ascii="Courier New" w:hAnsi="Courier New"/>
        </w:rPr>
      </w:pPr>
    </w:p>
    <w:p>
      <w:pPr>
        <w:pStyle w:val="P9"/>
        <w:ind w:left="561"/>
        <w:rPr>
          <w:rStyle w:val="C3"/>
        </w:rPr>
      </w:pPr>
    </w:p>
    <w:p>
      <w:pPr>
        <w:pStyle w:val="P10"/>
        <w:ind w:left="561"/>
      </w:pPr>
      <w:r>
        <w:t>Que el mismo es iniciado por la Sra. Carri Genoveva Eloisa, solicitando eximición de tasa por servicios de Administración y Mantenimiento de los Cementerios de la Identificación N° 006743;</w:t>
      </w:r>
    </w:p>
    <w:p>
      <w:pPr>
        <w:pStyle w:val="P10"/>
        <w:ind w:left="561"/>
      </w:pPr>
    </w:p>
    <w:p>
      <w:pPr>
        <w:pStyle w:val="P10"/>
        <w:ind w:left="561"/>
      </w:pPr>
      <w:r>
        <w:t>Que a FS. 8 y mediante Expediente N° 1107/02, solicita exención de la deuda que por Tasa por Servicios a la Propiedad posee el inmueble Desig. Cat. 03-01-103-024-000 la cual fue eximida mediante Ordenanza N° 5859/02;</w:t>
      </w:r>
    </w:p>
    <w:p>
      <w:pPr>
        <w:pStyle w:val="P10"/>
        <w:ind w:left="561"/>
      </w:pPr>
    </w:p>
    <w:p>
      <w:pPr>
        <w:pStyle w:val="P10"/>
        <w:ind w:left="561"/>
      </w:pPr>
      <w:r>
        <w:t>Que a Fs. 25, la Sra. Carri renueva la solicitud de eximición de Tasas por Servicios a la propiedad del Inmueble Desig. Cat. 03-01-103-024-000 pero a Fs. 71 la Secretaría de Obras y Servicios Públicos, a solicitud del Concejo Deliberante, eleva un informe donde se expresa que el inmueble de referencia ya no es propiedad de la Sra. Carri, por lo cual la solicitud queda sin efecto;</w:t>
      </w:r>
    </w:p>
    <w:p>
      <w:pPr>
        <w:pStyle w:val="P10"/>
        <w:ind w:left="561"/>
      </w:pPr>
    </w:p>
    <w:p>
      <w:pPr>
        <w:pStyle w:val="P10"/>
        <w:ind w:left="561"/>
      </w:pPr>
      <w:r>
        <w:t>Que a Fs. 45 y mediante Expediente N° 2552/04, la Sra. Carri solicita la eximición de la deuda que por Tasa por Servicios a la Propiedad recae sobre el inmueble Desig. Cat. 3-01-117-007-000;</w:t>
      </w:r>
    </w:p>
    <w:p>
      <w:pPr>
        <w:pStyle w:val="P10"/>
        <w:ind w:left="561"/>
      </w:pPr>
    </w:p>
    <w:p>
      <w:pPr>
        <w:pStyle w:val="P10"/>
        <w:ind w:left="561"/>
      </w:pPr>
      <w:r>
        <w:t>Que a Fs. 66 y mediante Expediente N° 1127/05, se solicita la eximición de deuda en concepto de Contribución por mejoras por obra de pavimentación de Hormigón simple que recae sobre el inmueble Desig. Cat. 3-01-117-007-000;</w:t>
      </w:r>
    </w:p>
    <w:p>
      <w:pPr>
        <w:pStyle w:val="P10"/>
        <w:ind w:left="561"/>
      </w:pPr>
    </w:p>
    <w:p>
      <w:pPr>
        <w:ind w:hanging="709" w:left="709"/>
        <w:jc w:val="both"/>
        <w:rPr>
          <w:rStyle w:val="C3"/>
          <w:rFonts w:ascii="Courier New" w:hAnsi="Courier New"/>
        </w:rPr>
      </w:pPr>
    </w:p>
    <w:p>
      <w:pPr>
        <w:ind w:hanging="709" w:left="709"/>
        <w:jc w:val="both"/>
        <w:rPr>
          <w:rStyle w:val="C3"/>
          <w:rFonts w:ascii="Courier New" w:hAnsi="Courier New"/>
        </w:rPr>
      </w:pPr>
    </w:p>
    <w:p>
      <w:pPr>
        <w:ind w:hanging="709" w:left="709"/>
        <w:jc w:val="both"/>
        <w:rPr>
          <w:rStyle w:val="C3"/>
          <w:rFonts w:ascii="Courier New" w:hAnsi="Courier New"/>
        </w:rPr>
      </w:pPr>
    </w:p>
    <w:p>
      <w:pPr>
        <w:ind w:hanging="709" w:left="709"/>
        <w:jc w:val="both"/>
        <w:rPr>
          <w:rStyle w:val="C3"/>
          <w:rFonts w:ascii="Courier New" w:hAnsi="Courier New"/>
        </w:rPr>
      </w:pPr>
    </w:p>
    <w:p>
      <w:pPr>
        <w:ind w:hanging="709" w:left="709"/>
        <w:jc w:val="both"/>
        <w:rPr>
          <w:rStyle w:val="C3"/>
          <w:rFonts w:ascii="Courier New" w:hAnsi="Courier New"/>
        </w:rPr>
      </w:pPr>
    </w:p>
    <w:p>
      <w:pPr>
        <w:ind w:hanging="709" w:left="709"/>
        <w:jc w:val="both"/>
        <w:rPr>
          <w:rStyle w:val="C3"/>
          <w:rFonts w:ascii="Courier New" w:hAnsi="Courier New"/>
        </w:rPr>
      </w:pPr>
    </w:p>
    <w:p>
      <w:pPr>
        <w:pStyle w:val="P14"/>
        <w:ind w:left="113"/>
        <w:jc w:val="center"/>
        <w:rPr>
          <w:rStyle w:val="C3"/>
          <w:rFonts w:ascii="JaneAusten" w:hAnsi="JaneAusten"/>
          <w:b w:val="1"/>
          <w:sz w:val="24"/>
        </w:rPr>
      </w:pPr>
      <w:r>
        <w:rPr>
          <w:rStyle w:val="C3"/>
          <w:rFonts w:ascii="JaneAusten" w:hAnsi="JaneAusten"/>
          <w:b w:val="0"/>
          <w:sz w:val="24"/>
        </w:rPr>
        <w:t xml:space="preserve"> “Año del Cincuentenario de la Asociación y del Cuerpo de Bomberos Voluntarios de la Ciudad”</w:t>
      </w:r>
    </w:p>
    <w:p>
      <w:pPr>
        <w:ind w:left="561"/>
        <w:jc w:val="both"/>
        <w:rPr>
          <w:rStyle w:val="C3"/>
          <w:rFonts w:ascii="Courier New" w:hAnsi="Courier New"/>
        </w:rPr>
      </w:pPr>
    </w:p>
    <w:p>
      <w:pPr>
        <w:ind w:left="561"/>
        <w:jc w:val="both"/>
        <w:rPr>
          <w:rStyle w:val="C3"/>
          <w:rFonts w:ascii="Courier New" w:hAnsi="Courier New"/>
        </w:rPr>
      </w:pPr>
    </w:p>
    <w:p>
      <w:pPr>
        <w:ind w:left="113"/>
        <w:jc w:val="both"/>
        <w:rPr>
          <w:rStyle w:val="C3"/>
          <w:rFonts w:ascii="Courier New" w:hAnsi="Courier New"/>
        </w:rPr>
      </w:pPr>
      <w:r>
        <w:rPr>
          <w:rStyle w:val="C3"/>
          <w:rFonts w:ascii="Courier New" w:hAnsi="Courier New"/>
        </w:rPr>
        <w:t>...///2.-</w:t>
      </w:r>
    </w:p>
    <w:p>
      <w:pPr>
        <w:ind w:left="113"/>
        <w:jc w:val="both"/>
        <w:rPr>
          <w:rStyle w:val="C3"/>
          <w:rFonts w:ascii="Courier New" w:hAnsi="Courier New"/>
        </w:rPr>
      </w:pPr>
    </w:p>
    <w:p>
      <w:pPr>
        <w:pStyle w:val="P10"/>
      </w:pPr>
      <w:r>
        <w:t>Que del Relevamiento Socioeconómico y Ambiental obrante a Fs. 69, se desprende que la Sra. Carri convive con su hijo el cual realiza tareas de desmonte, teniendo el grupo familiar ingresos inestables;</w:t>
      </w:r>
    </w:p>
    <w:p>
      <w:pPr>
        <w:ind w:hanging="709" w:left="748"/>
        <w:jc w:val="both"/>
        <w:rPr>
          <w:rStyle w:val="C3"/>
          <w:rFonts w:ascii="Courier New" w:hAnsi="Courier New"/>
        </w:rPr>
      </w:pPr>
    </w:p>
    <w:p>
      <w:pPr>
        <w:pStyle w:val="P10"/>
      </w:pPr>
      <w:r>
        <w:t>Que analizado el Expediente de referencia por la Comisión de Hacienda, la misma emite despacho favorable, aprobado por Unanimidad en Sesión Ordinaria del día 05 de Agosto de 2009;</w:t>
      </w:r>
    </w:p>
    <w:p>
      <w:pPr>
        <w:ind w:left="561"/>
        <w:jc w:val="both"/>
        <w:rPr>
          <w:rStyle w:val="C3"/>
          <w:rFonts w:ascii="Courier New" w:hAnsi="Courier New"/>
        </w:rPr>
      </w:pP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8"/>
      </w:pPr>
      <w:r>
        <w:t>ALTA GRACIA SANCIONA CON FUERZA DE ORDENANZA</w:t>
      </w:r>
    </w:p>
    <w:p>
      <w:pPr>
        <w:pStyle w:val="P16"/>
        <w:ind w:left="561"/>
        <w:rPr>
          <w:rStyle w:val="C3"/>
          <w:b w:val="1"/>
          <w:u w:val="none"/>
        </w:rPr>
      </w:pPr>
    </w:p>
    <w:p>
      <w:pPr>
        <w:pStyle w:val="P16"/>
        <w:ind w:left="561"/>
        <w:rPr>
          <w:rStyle w:val="C3"/>
          <w:b w:val="1"/>
          <w:u w:val="none"/>
        </w:rPr>
      </w:pPr>
    </w:p>
    <w:p>
      <w:pPr>
        <w:pStyle w:val="P16"/>
        <w:ind w:left="561"/>
        <w:rPr>
          <w:rStyle w:val="C3"/>
          <w:b w:val="1"/>
          <w:u w:val="none"/>
        </w:rPr>
      </w:pPr>
    </w:p>
    <w:p>
      <w:pPr>
        <w:ind w:hanging="748" w:left="748"/>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rPr>
        <w:t xml:space="preserve"> </w:t>
      </w:r>
      <w:r>
        <w:rPr>
          <w:rStyle w:val="C3"/>
          <w:rFonts w:ascii="Courier New" w:hAnsi="Courier New"/>
          <w:b w:val="1"/>
        </w:rPr>
        <w:t>AUTORIZASE</w:t>
      </w:r>
      <w:r>
        <w:rPr>
          <w:rStyle w:val="C3"/>
          <w:rFonts w:ascii="Courier New" w:hAnsi="Courier New"/>
        </w:rPr>
        <w:t xml:space="preserve"> al Departamento Ejecutivo a conceder plan de pagos a valores históricos sin recargo ni intereses de PESOS TREINTA ($30,00) mensuales a la Sra. Carri Genoveva Eloisa D.N.I 4.750.045 por la deuda que por Tasa por Servicios a la Propiedad  posee el Inmueble Designación Catastral 3-01-117-007-000.- </w:t>
      </w:r>
    </w:p>
    <w:p>
      <w:pPr>
        <w:ind w:hanging="709" w:left="709"/>
        <w:jc w:val="both"/>
        <w:rPr>
          <w:rStyle w:val="C3"/>
          <w:rFonts w:ascii="Courier New" w:hAnsi="Courier New"/>
          <w:b w:val="1"/>
          <w:u w:val="single"/>
        </w:rPr>
      </w:pPr>
    </w:p>
    <w:p>
      <w:pPr>
        <w:ind w:hanging="748" w:left="748"/>
        <w:jc w:val="both"/>
        <w:rPr>
          <w:rStyle w:val="C3"/>
          <w:rFonts w:ascii="Courier New" w:hAnsi="Courier New"/>
        </w:rPr>
      </w:pPr>
      <w:r>
        <w:rPr>
          <w:rStyle w:val="C3"/>
          <w:rFonts w:ascii="Courier New" w:hAnsi="Courier New"/>
          <w:b w:val="1"/>
          <w:u w:val="single"/>
        </w:rPr>
        <w:t>Art.2</w:t>
      </w:r>
      <w:r>
        <w:rPr>
          <w:rStyle w:val="C3"/>
          <w:rFonts w:ascii="Courier New" w:hAnsi="Courier New"/>
          <w:b w:val="1"/>
        </w:rPr>
        <w:t>: CONDONASE</w:t>
      </w:r>
      <w:r>
        <w:rPr>
          <w:rStyle w:val="C3"/>
          <w:rFonts w:ascii="Courier New" w:hAnsi="Courier New"/>
        </w:rPr>
        <w:t xml:space="preserve"> en un CIEN POR CIENTO (100%) la deuda que por Tasa por Administración y Mantenimiento de los Cementerios recae sobre la Identificación N° 006743.-</w:t>
      </w:r>
    </w:p>
    <w:p>
      <w:pPr>
        <w:ind w:hanging="748" w:left="748"/>
        <w:jc w:val="both"/>
        <w:rPr>
          <w:rStyle w:val="C3"/>
          <w:rFonts w:ascii="Courier New" w:hAnsi="Courier New"/>
          <w:b w:val="1"/>
          <w:u w:val="single"/>
        </w:rPr>
      </w:pPr>
    </w:p>
    <w:p>
      <w:pPr>
        <w:ind w:hanging="748" w:left="748"/>
        <w:jc w:val="both"/>
        <w:rPr>
          <w:rStyle w:val="C3"/>
          <w:rFonts w:ascii="Courier New" w:hAnsi="Courier New"/>
          <w:b w:val="1"/>
        </w:rPr>
      </w:pPr>
      <w:r>
        <w:rPr>
          <w:rStyle w:val="C3"/>
          <w:rFonts w:ascii="Courier New" w:hAnsi="Courier New"/>
          <w:b w:val="1"/>
          <w:u w:val="single"/>
        </w:rPr>
        <w:t>Art.3</w:t>
      </w:r>
      <w:r>
        <w:rPr>
          <w:rStyle w:val="C3"/>
          <w:rFonts w:ascii="Courier New" w:hAnsi="Courier New"/>
          <w:b w:val="1"/>
        </w:rPr>
        <w:t>: CONDONASE</w:t>
      </w:r>
      <w:r>
        <w:rPr>
          <w:rStyle w:val="C3"/>
          <w:rFonts w:ascii="Courier New" w:hAnsi="Courier New"/>
        </w:rPr>
        <w:t xml:space="preserve"> en un CIEN POR CIENTO (100%) la deuda que por  Contribución por mejoras por obra de pavimentación de Hormigón simple posee  el inmueble Desig. Cat. 3-01-117-007-000.-</w:t>
      </w:r>
    </w:p>
    <w:p>
      <w:pPr>
        <w:ind w:hanging="748" w:left="748"/>
        <w:jc w:val="right"/>
        <w:rPr>
          <w:rStyle w:val="C3"/>
          <w:rFonts w:ascii="Courier New" w:hAnsi="Courier New"/>
        </w:rPr>
      </w:pPr>
      <w:r>
        <w:rPr>
          <w:rStyle w:val="C3"/>
          <w:rFonts w:ascii="Courier New" w:hAnsi="Courier New"/>
        </w:rPr>
        <w:t>...///</w:t>
      </w:r>
    </w:p>
    <w:p>
      <w:pPr>
        <w:ind w:hanging="748" w:left="748"/>
        <w:jc w:val="both"/>
        <w:rPr>
          <w:rStyle w:val="C3"/>
          <w:rFonts w:ascii="Courier New" w:hAnsi="Courier New"/>
        </w:rPr>
      </w:pPr>
    </w:p>
    <w:p>
      <w:pPr>
        <w:ind w:hanging="748" w:left="748"/>
        <w:jc w:val="both"/>
        <w:rPr>
          <w:rStyle w:val="C3"/>
          <w:rFonts w:ascii="Courier New" w:hAnsi="Courier New"/>
        </w:rPr>
      </w:pPr>
    </w:p>
    <w:p>
      <w:pPr>
        <w:ind w:hanging="748" w:left="748"/>
        <w:jc w:val="both"/>
        <w:rPr>
          <w:rStyle w:val="C3"/>
          <w:rFonts w:ascii="Courier New" w:hAnsi="Courier New"/>
        </w:rPr>
      </w:pPr>
    </w:p>
    <w:p>
      <w:pPr>
        <w:ind w:hanging="748" w:left="748"/>
        <w:jc w:val="both"/>
        <w:rPr>
          <w:rStyle w:val="C3"/>
          <w:rFonts w:ascii="Courier New" w:hAnsi="Courier New"/>
        </w:rPr>
      </w:pPr>
    </w:p>
    <w:p>
      <w:pPr>
        <w:ind w:hanging="748" w:left="748"/>
        <w:jc w:val="both"/>
        <w:rPr>
          <w:rStyle w:val="C3"/>
          <w:rFonts w:ascii="Courier New" w:hAnsi="Courier New"/>
        </w:rPr>
      </w:pPr>
    </w:p>
    <w:p>
      <w:pPr>
        <w:ind w:hanging="748" w:left="748"/>
        <w:jc w:val="both"/>
        <w:rPr>
          <w:rStyle w:val="C3"/>
          <w:rFonts w:ascii="Courier New" w:hAnsi="Courier New"/>
        </w:rPr>
      </w:pPr>
    </w:p>
    <w:p>
      <w:pPr>
        <w:ind w:hanging="748" w:left="748"/>
        <w:jc w:val="both"/>
        <w:rPr>
          <w:rStyle w:val="C3"/>
          <w:rFonts w:ascii="Courier New" w:hAnsi="Courier New"/>
        </w:rPr>
      </w:pPr>
    </w:p>
    <w:p>
      <w:pPr>
        <w:ind w:hanging="748" w:left="748"/>
        <w:jc w:val="both"/>
        <w:rPr>
          <w:rStyle w:val="C3"/>
          <w:rFonts w:ascii="Courier New" w:hAnsi="Courier New"/>
        </w:rPr>
      </w:pPr>
    </w:p>
    <w:p>
      <w:pPr>
        <w:pStyle w:val="P14"/>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ind w:left="561"/>
        <w:jc w:val="both"/>
        <w:rPr>
          <w:rStyle w:val="C3"/>
          <w:rFonts w:ascii="Courier New" w:hAnsi="Courier New"/>
        </w:rPr>
      </w:pPr>
    </w:p>
    <w:p>
      <w:pPr>
        <w:ind w:left="561"/>
        <w:jc w:val="both"/>
        <w:rPr>
          <w:rStyle w:val="C3"/>
          <w:rFonts w:ascii="Courier New" w:hAnsi="Courier New"/>
        </w:rPr>
      </w:pPr>
    </w:p>
    <w:p>
      <w:pPr>
        <w:ind w:left="113"/>
        <w:jc w:val="both"/>
        <w:rPr>
          <w:rStyle w:val="C3"/>
          <w:rFonts w:ascii="Courier New" w:hAnsi="Courier New"/>
        </w:rPr>
      </w:pPr>
      <w:r>
        <w:rPr>
          <w:rStyle w:val="C3"/>
          <w:rFonts w:ascii="Courier New" w:hAnsi="Courier New"/>
        </w:rPr>
        <w:t>...///3.-</w:t>
      </w:r>
    </w:p>
    <w:p>
      <w:pPr>
        <w:ind w:hanging="748" w:left="748"/>
        <w:jc w:val="both"/>
        <w:rPr>
          <w:rStyle w:val="C3"/>
          <w:rFonts w:ascii="Courier New" w:hAnsi="Courier New"/>
        </w:rPr>
      </w:pPr>
    </w:p>
    <w:p>
      <w:pPr>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b w:val="1"/>
          <w:u w:val="single"/>
        </w:rPr>
        <w:t>Art.4</w:t>
      </w:r>
      <w:r>
        <w:rPr>
          <w:rStyle w:val="C3"/>
          <w:rFonts w:ascii="Courier New" w:hAnsi="Courier New"/>
          <w:b w:val="1"/>
        </w:rPr>
        <w:t>: PROTOCOLÍCESE</w:t>
      </w:r>
      <w:r>
        <w:rPr>
          <w:rStyle w:val="C3"/>
          <w:rFonts w:ascii="Courier New" w:hAnsi="Courier New"/>
        </w:rPr>
        <w:t>, Comuníquese, publíquese la presente Ordenanza en el Boletín Oficial de la Municipalidad de Alta Gracia, transcríbase al libro de Ordenanzas y archívese.-</w:t>
      </w:r>
    </w:p>
    <w:p>
      <w:pPr>
        <w:jc w:val="both"/>
        <w:rPr>
          <w:rStyle w:val="C3"/>
          <w:rFonts w:ascii="Courier New" w:hAnsi="Courier New"/>
        </w:rPr>
      </w:pPr>
    </w:p>
    <w:p>
      <w:pPr>
        <w:jc w:val="both"/>
        <w:rPr>
          <w:rStyle w:val="C3"/>
          <w:rFonts w:ascii="Courier New" w:hAnsi="Courier New"/>
        </w:rPr>
      </w:pPr>
    </w:p>
    <w:p>
      <w:pPr>
        <w:pStyle w:val="P15"/>
      </w:pPr>
      <w:r>
        <w:t>DADA EN LA SALA DE SESIONES DEL HONORABLE CONCEJO DELIBERANTE A CINCO DÍAS DEL MES DE AGOSTO DEL AÑO DOS MIL NUEVE.-</w:t>
      </w:r>
    </w:p>
    <w:p>
      <w:pPr>
        <w:jc w:val="both"/>
        <w:rPr>
          <w:rStyle w:val="C3"/>
          <w:rFonts w:ascii="Courier New" w:hAnsi="Courier New"/>
        </w:rPr>
      </w:pPr>
    </w:p>
    <w:sectPr>
      <w:type w:val="nextPage"/>
      <w:pgSz w:w="11906" w:h="16838" w:code="0"/>
      <w:pgMar w:left="1701" w:right="1701" w:top="1418" w:bottom="1418" w:header="708" w:footer="708" w:gutter="0"/>
    </w:sectPr>
  </w:body>
</w:document>
</file>

<file path=word/numbering.xml><?xml version="1.0" encoding="utf-8"?>
<w:numbering xmlns:w="http://schemas.openxmlformats.org/wordprocessingml/2006/main">
  <w:abstractNum w:abstractNumId="0">
    <w:nsid w:val="04933849"/>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b w:val="1"/>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
    <w:nsid w:val="102455E3"/>
    <w:multiLevelType w:val="multilevel"/>
    <w:lvl w:ilvl="0">
      <w:start w:val="1"/>
      <w:numFmt w:val="decimal"/>
      <w:suff w:val="tab"/>
      <w:lvlText w:val="%1)"/>
      <w:lvlJc w:val="left"/>
      <w:pPr>
        <w:ind w:hanging="465" w:left="465"/>
        <w:tabs>
          <w:tab w:val="left" w:pos="4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249C22A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448312F7"/>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4C0A51DF"/>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6">
    <w:nsid w:val="4C661CEC"/>
    <w:multiLevelType w:val="hybridMultilevel"/>
    <w:lvl w:ilvl="0" w:tplc="7B6304C9">
      <w:start w:val="2"/>
      <w:numFmt w:val="bullet"/>
      <w:suff w:val="tab"/>
      <w:lvlText w:val="-"/>
      <w:lvlJc w:val="left"/>
      <w:pPr>
        <w:ind w:hanging="360" w:left="1080"/>
        <w:tabs>
          <w:tab w:val="left" w:pos="1080" w:leader="none"/>
        </w:tabs>
      </w:pPr>
      <w:rPr>
        <w:rFonts w:ascii="Courier New" w:hAnsi="Courier New"/>
      </w:rPr>
    </w:lvl>
    <w:lvl w:ilvl="1" w:tplc="598ACBD3">
      <w:start w:val="1"/>
      <w:numFmt w:val="bullet"/>
      <w:suff w:val="tab"/>
      <w:lvlText w:val="o"/>
      <w:lvlJc w:val="left"/>
      <w:pPr>
        <w:ind w:hanging="360" w:left="1800"/>
        <w:tabs>
          <w:tab w:val="left" w:pos="1800" w:leader="none"/>
        </w:tabs>
      </w:pPr>
      <w:rPr>
        <w:rFonts w:ascii="Courier New" w:hAnsi="Courier New"/>
      </w:rPr>
    </w:lvl>
    <w:lvl w:ilvl="2" w:tplc="5002AED7">
      <w:start w:val="1"/>
      <w:numFmt w:val="bullet"/>
      <w:suff w:val="tab"/>
      <w:lvlText w:val=""/>
      <w:lvlJc w:val="left"/>
      <w:pPr>
        <w:ind w:hanging="360" w:left="2520"/>
        <w:tabs>
          <w:tab w:val="left" w:pos="2520" w:leader="none"/>
        </w:tabs>
      </w:pPr>
      <w:rPr>
        <w:rFonts w:ascii="Wingdings" w:hAnsi="Wingdings"/>
      </w:rPr>
    </w:lvl>
    <w:lvl w:ilvl="3" w:tplc="3DAD08D8">
      <w:start w:val="1"/>
      <w:numFmt w:val="bullet"/>
      <w:suff w:val="tab"/>
      <w:lvlText w:val=""/>
      <w:lvlJc w:val="left"/>
      <w:pPr>
        <w:ind w:hanging="360" w:left="3240"/>
        <w:tabs>
          <w:tab w:val="left" w:pos="3240" w:leader="none"/>
        </w:tabs>
      </w:pPr>
      <w:rPr>
        <w:rFonts w:ascii="Symbol" w:hAnsi="Symbol"/>
      </w:rPr>
    </w:lvl>
    <w:lvl w:ilvl="4" w:tplc="0B28CD4E">
      <w:start w:val="1"/>
      <w:numFmt w:val="bullet"/>
      <w:suff w:val="tab"/>
      <w:lvlText w:val="o"/>
      <w:lvlJc w:val="left"/>
      <w:pPr>
        <w:ind w:hanging="360" w:left="3960"/>
        <w:tabs>
          <w:tab w:val="left" w:pos="3960" w:leader="none"/>
        </w:tabs>
      </w:pPr>
      <w:rPr>
        <w:rFonts w:ascii="Courier New" w:hAnsi="Courier New"/>
      </w:rPr>
    </w:lvl>
    <w:lvl w:ilvl="5" w:tplc="7DDFC457">
      <w:start w:val="1"/>
      <w:numFmt w:val="bullet"/>
      <w:suff w:val="tab"/>
      <w:lvlText w:val=""/>
      <w:lvlJc w:val="left"/>
      <w:pPr>
        <w:ind w:hanging="360" w:left="4680"/>
        <w:tabs>
          <w:tab w:val="left" w:pos="4680" w:leader="none"/>
        </w:tabs>
      </w:pPr>
      <w:rPr>
        <w:rFonts w:ascii="Wingdings" w:hAnsi="Wingdings"/>
      </w:rPr>
    </w:lvl>
    <w:lvl w:ilvl="6" w:tplc="2E7B7421">
      <w:start w:val="1"/>
      <w:numFmt w:val="bullet"/>
      <w:suff w:val="tab"/>
      <w:lvlText w:val=""/>
      <w:lvlJc w:val="left"/>
      <w:pPr>
        <w:ind w:hanging="360" w:left="5400"/>
        <w:tabs>
          <w:tab w:val="left" w:pos="5400" w:leader="none"/>
        </w:tabs>
      </w:pPr>
      <w:rPr>
        <w:rFonts w:ascii="Symbol" w:hAnsi="Symbol"/>
      </w:rPr>
    </w:lvl>
    <w:lvl w:ilvl="7" w:tplc="7B94A06D">
      <w:start w:val="1"/>
      <w:numFmt w:val="bullet"/>
      <w:suff w:val="tab"/>
      <w:lvlText w:val="o"/>
      <w:lvlJc w:val="left"/>
      <w:pPr>
        <w:ind w:hanging="360" w:left="6120"/>
        <w:tabs>
          <w:tab w:val="left" w:pos="6120" w:leader="none"/>
        </w:tabs>
      </w:pPr>
      <w:rPr>
        <w:rFonts w:ascii="Courier New" w:hAnsi="Courier New"/>
      </w:rPr>
    </w:lvl>
    <w:lvl w:ilvl="8" w:tplc="6767A563">
      <w:start w:val="1"/>
      <w:numFmt w:val="bullet"/>
      <w:suff w:val="tab"/>
      <w:lvlText w:val=""/>
      <w:lvlJc w:val="left"/>
      <w:pPr>
        <w:ind w:hanging="360" w:left="6840"/>
        <w:tabs>
          <w:tab w:val="left" w:pos="6840" w:leader="none"/>
        </w:tabs>
      </w:pPr>
      <w:rPr>
        <w:rFonts w:ascii="Wingdings" w:hAnsi="Wingdings"/>
      </w:rPr>
    </w:lvl>
  </w:abstractNum>
  <w:abstractNum w:abstractNumId="7">
    <w:nsid w:val="4F8F54B7"/>
    <w:multiLevelType w:val="multilevel"/>
    <w:lvl w:ilvl="0">
      <w:start w:val="1"/>
      <w:numFmt w:val="lowerLetter"/>
      <w:suff w:val="tab"/>
      <w:lvlText w:val="%1)"/>
      <w:lvlJc w:val="left"/>
      <w:pPr>
        <w:ind w:hanging="465" w:left="1185"/>
        <w:tabs>
          <w:tab w:val="left" w:pos="118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643C11C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0">
    <w:nsid w:val="67F01EF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1">
    <w:nsid w:val="6FCB7CE4"/>
    <w:multiLevelType w:val="multilevel"/>
    <w:lvl w:ilvl="0">
      <w:start w:val="1"/>
      <w:numFmt w:val="decimal"/>
      <w:suff w:val="tab"/>
      <w:lvlText w:val="%1)"/>
      <w:lvlJc w:val="left"/>
      <w:pPr>
        <w:ind w:hanging="705" w:left="106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74E828BD"/>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num w:numId="1">
    <w:abstractNumId w:val="3"/>
  </w:num>
  <w:num w:numId="2">
    <w:abstractNumId w:val="8"/>
  </w:num>
  <w:num w:numId="3">
    <w:abstractNumId w:val="1"/>
  </w:num>
  <w:num w:numId="4">
    <w:abstractNumId w:val="2"/>
  </w:num>
  <w:num w:numId="5">
    <w:abstractNumId w:val="10"/>
  </w:num>
  <w:num w:numId="6">
    <w:abstractNumId w:val="11"/>
  </w:num>
  <w:num w:numId="7">
    <w:abstractNumId w:val="7"/>
  </w:num>
  <w:num w:numId="8">
    <w:abstractNumId w:val="6"/>
  </w:num>
  <w:num w:numId="9">
    <w:abstractNumId w:val="9"/>
  </w:num>
  <w:num w:numId="10">
    <w:abstractNumId w:val="12"/>
  </w:num>
  <w:num w:numId="11">
    <w:abstractNumId w:val="0"/>
  </w:num>
  <w:num w:numId="12">
    <w:abstractNumId w:val="5"/>
  </w:num>
  <w:num w:numId="13">
    <w:abstractNumId w:val="4"/>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Estilo"/>
    <w:next w:val="P1"/>
    <w:pPr>
      <w:widowControl w:val="0"/>
    </w:pPr>
    <w:rPr/>
  </w:style>
  <w:style w:type="paragraph" w:styleId="P2">
    <w:name w:val="Título 1"/>
    <w:basedOn w:val="P0"/>
    <w:next w:val="P0"/>
    <w:pPr>
      <w:keepNext w:val="1"/>
      <w:jc w:val="center"/>
      <w:outlineLvl w:val="0"/>
    </w:pPr>
    <w:rPr>
      <w:rFonts w:ascii="Courier New" w:hAnsi="Courier New"/>
      <w:b w:val="1"/>
    </w:rPr>
  </w:style>
  <w:style w:type="paragraph" w:styleId="P3">
    <w:name w:val="Título 2"/>
    <w:basedOn w:val="P0"/>
    <w:next w:val="P0"/>
    <w:pPr>
      <w:keepNext w:val="1"/>
      <w:jc w:val="center"/>
      <w:outlineLvl w:val="1"/>
    </w:pPr>
    <w:rPr>
      <w:b w:val="1"/>
    </w:rPr>
  </w:style>
  <w:style w:type="paragraph" w:styleId="P4">
    <w:name w:val="Título 3"/>
    <w:basedOn w:val="P0"/>
    <w:next w:val="P0"/>
    <w:pPr>
      <w:keepNext w:val="1"/>
      <w:jc w:val="center"/>
      <w:outlineLvl w:val="2"/>
    </w:pPr>
    <w:rPr>
      <w:rFonts w:ascii="Courier New" w:hAnsi="Courier New"/>
      <w:b w:val="1"/>
      <w:u w:val="single"/>
    </w:rPr>
  </w:style>
  <w:style w:type="paragraph" w:styleId="P5">
    <w:name w:val="Título 4"/>
    <w:basedOn w:val="P0"/>
    <w:next w:val="P0"/>
    <w:pPr>
      <w:keepNext w:val="1"/>
      <w:jc w:val="center"/>
      <w:outlineLvl w:val="3"/>
    </w:pPr>
    <w:rPr>
      <w:rFonts w:ascii="Courier New" w:hAnsi="Courier New"/>
      <w:sz w:val="144"/>
    </w:rPr>
  </w:style>
  <w:style w:type="paragraph" w:styleId="P6">
    <w:name w:val="Título 5"/>
    <w:basedOn w:val="P0"/>
    <w:next w:val="P0"/>
    <w:pPr>
      <w:keepNext w:val="1"/>
      <w:jc w:val="both"/>
      <w:outlineLvl w:val="4"/>
    </w:pPr>
    <w:rPr>
      <w:rFonts w:ascii="Courier New" w:hAnsi="Courier New"/>
      <w:u w:val="single"/>
    </w:rPr>
  </w:style>
  <w:style w:type="paragraph" w:styleId="P7">
    <w:name w:val="Título 6"/>
    <w:basedOn w:val="P0"/>
    <w:next w:val="P0"/>
    <w:pPr>
      <w:keepNext w:val="1"/>
      <w:jc w:val="center"/>
      <w:outlineLvl w:val="5"/>
    </w:pPr>
    <w:rPr>
      <w:rFonts w:ascii="Courier New" w:hAnsi="Courier New"/>
      <w:b w:val="1"/>
      <w:sz w:val="144"/>
    </w:rPr>
  </w:style>
  <w:style w:type="paragraph" w:styleId="P8">
    <w:name w:val="Título 7"/>
    <w:basedOn w:val="P0"/>
    <w:next w:val="P0"/>
    <w:pPr>
      <w:keepNext w:val="1"/>
      <w:ind w:left="561"/>
      <w:jc w:val="center"/>
      <w:outlineLvl w:val="6"/>
    </w:pPr>
    <w:rPr>
      <w:rFonts w:ascii="Courier New" w:hAnsi="Courier New"/>
      <w:b w:val="1"/>
    </w:rPr>
  </w:style>
  <w:style w:type="paragraph" w:styleId="P9">
    <w:name w:val="Texto independiente"/>
    <w:basedOn w:val="P0"/>
    <w:next w:val="P9"/>
    <w:pPr>
      <w:jc w:val="both"/>
    </w:pPr>
    <w:rPr>
      <w:rFonts w:ascii="Courier New" w:hAnsi="Courier New"/>
    </w:rPr>
  </w:style>
  <w:style w:type="paragraph" w:styleId="P10">
    <w:name w:val="Sangría de t. independiente"/>
    <w:basedOn w:val="P0"/>
    <w:next w:val="P10"/>
    <w:pPr>
      <w:ind w:left="748"/>
      <w:jc w:val="both"/>
    </w:pPr>
    <w:rPr>
      <w:rFonts w:ascii="Courier New" w:hAnsi="Courier New"/>
    </w:rPr>
  </w:style>
  <w:style w:type="paragraph" w:styleId="P11">
    <w:name w:val="Sangría 2 de t. independiente"/>
    <w:basedOn w:val="P0"/>
    <w:next w:val="P11"/>
    <w:pPr>
      <w:ind w:hanging="748" w:left="748"/>
      <w:jc w:val="both"/>
    </w:pPr>
    <w:rPr>
      <w:rFonts w:ascii="Courier New" w:hAnsi="Courier New"/>
    </w:rPr>
  </w:style>
  <w:style w:type="paragraph" w:styleId="P12">
    <w:name w:val="Sangría 3 de t. independiente"/>
    <w:basedOn w:val="P0"/>
    <w:next w:val="P12"/>
    <w:pPr>
      <w:ind w:left="748"/>
      <w:jc w:val="both"/>
    </w:pPr>
    <w:rPr>
      <w:rFonts w:ascii="Courier New" w:hAnsi="Courier New"/>
      <w:b w:val="1"/>
    </w:rPr>
  </w:style>
  <w:style w:type="paragraph" w:styleId="P13">
    <w:name w:val="Encabezado"/>
    <w:basedOn w:val="P0"/>
    <w:next w:val="P13"/>
    <w:pPr>
      <w:tabs>
        <w:tab w:val="center" w:pos="4252" w:leader="none"/>
        <w:tab w:val="right" w:pos="8504" w:leader="none"/>
      </w:tabs>
    </w:pPr>
    <w:rPr/>
  </w:style>
  <w:style w:type="paragraph" w:styleId="P14">
    <w:name w:val="Texto independiente 2"/>
    <w:basedOn w:val="P0"/>
    <w:next w:val="P14"/>
    <w:pPr/>
    <w:rPr>
      <w:rFonts w:ascii="Arial" w:hAnsi="Arial"/>
      <w:b w:val="1"/>
      <w:sz w:val="28"/>
    </w:rPr>
  </w:style>
  <w:style w:type="paragraph" w:styleId="P15">
    <w:name w:val="Texto independiente 3"/>
    <w:basedOn w:val="P0"/>
    <w:next w:val="P15"/>
    <w:pPr>
      <w:jc w:val="both"/>
    </w:pPr>
    <w:rPr>
      <w:rFonts w:ascii="Courier New" w:hAnsi="Courier New"/>
      <w:b w:val="1"/>
    </w:rPr>
  </w:style>
  <w:style w:type="paragraph" w:styleId="P16">
    <w:name w:val="Título"/>
    <w:basedOn w:val="P0"/>
    <w:next w:val="P16"/>
    <w:pPr>
      <w:jc w:val="center"/>
    </w:pPr>
    <w:rPr>
      <w:rFonts w:ascii="Courier New" w:hAnsi="Courier New"/>
      <w:b w:val="1"/>
      <w:u w:val="single"/>
    </w:rPr>
  </w:style>
  <w:style w:type="paragraph" w:styleId="P17">
    <w:name w:val="Normal (Web)"/>
    <w:basedOn w:val="P0"/>
    <w:next w:val="P17"/>
    <w:pPr>
      <w:spacing w:before="100" w:after="100"/>
    </w:pPr>
    <w:rPr/>
  </w:style>
  <w:style w:type="paragraph" w:styleId="P18">
    <w:name w:val="Texto sin formato"/>
    <w:basedOn w:val="P0"/>
    <w:next w:val="P18"/>
    <w:pPr/>
    <w:rPr>
      <w:rFonts w:ascii="Courier New" w:hAnsi="Courier New"/>
      <w:sz w:val="20"/>
    </w:rPr>
  </w:style>
  <w:style w:type="paragraph" w:styleId="P19">
    <w:name w:val="Remite de sobre"/>
    <w:basedOn w:val="P0"/>
    <w:next w:val="P19"/>
    <w:pPr>
      <w:jc w:val="both"/>
    </w:pPr>
    <w:rPr>
      <w:rFonts w:ascii="Benguiat Bk BT" w:hAnsi="Benguiat Bk BT"/>
      <w:b w:val="1"/>
      <w:i w:val="1"/>
      <w:u w:val="single"/>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2009-08-07T02:13:00Z</dcterms:created>
  <cp:lastModifiedBy>Ethan Puglia</cp:lastModifiedBy>
  <cp:lastPrinted>2009-08-19T03:45:00Z</cp:lastPrinted>
  <dcterms:modified xsi:type="dcterms:W3CDTF">2019-03-28T17:34:13Z</dcterms:modified>
  <cp:revision>10</cp:revision>
  <dc:title>PROYECTO DE ORDENANZA VIOLENCIA FAMILIAR</dc:title>
</cp:coreProperties>
</file>