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21F6CC2" Type="http://schemas.openxmlformats.org/officeDocument/2006/relationships/officeDocument" Target="/word/document.xml" /><Relationship Id="coreR221F6CC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4"/>
        <w:ind w:left="113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</w:pPr>
      <w:r>
        <w:t>ORDENANZA N° 8446</w:t>
      </w:r>
    </w:p>
    <w:p/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1206/07; y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/>
    <w:p>
      <w:pPr>
        <w:pStyle w:val="P9"/>
        <w:ind w:left="561"/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mismo es iniciado por la Sra. Medina Delia Inés, solicitando Eximición de la deuda que por Tasa por Servicios a la Propiedad mantiene con la Municipalidad de Alta Gracia el inmueble Designación Catastral 01-01-377-010-000;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del Relevamiento Socioeconómico y Ambiental se desprende que la Sra. Medina reside en una vivienda social (IPV), recibe módulo alimentario y se encuentra pensionada por discapacidad. Convive con su hijo que realiza trabajos de albañilería; </w:t>
      </w:r>
    </w:p>
    <w:p>
      <w:pPr>
        <w:pStyle w:val="P10"/>
        <w:ind w:left="561"/>
        <w:rPr>
          <w:rStyle w:val="C3"/>
        </w:rPr>
      </w:pPr>
    </w:p>
    <w:p>
      <w:pPr>
        <w:pStyle w:val="P10"/>
        <w:ind w:left="561"/>
      </w:pPr>
      <w:r>
        <w:t>Que analizado Expediente de referencia de la Comisión de Hacienda, la misma emite despacho favorable, aprobado por Unanimidad en Sesión Ordinaria del día 12 de Agosto de 2009;</w:t>
      </w:r>
    </w:p>
    <w:p>
      <w:pPr>
        <w:pStyle w:val="P10"/>
        <w:ind w:left="561"/>
        <w:jc w:val="right"/>
      </w:pPr>
    </w:p>
    <w:p>
      <w:pPr>
        <w:jc w:val="center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0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pStyle w:val="P10"/>
        <w:ind w:left="561"/>
        <w:jc w:val="right"/>
        <w:rPr>
          <w:rStyle w:val="C3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>EX</w:t>
      </w:r>
      <w:r>
        <w:rPr>
          <w:rStyle w:val="C3"/>
          <w:rFonts w:ascii="Courier New" w:hAnsi="Courier New"/>
          <w:b w:val="1"/>
        </w:rPr>
        <w:t>ÍMASE</w:t>
      </w:r>
      <w:r>
        <w:rPr>
          <w:rStyle w:val="C3"/>
          <w:rFonts w:ascii="Courier New" w:hAnsi="Courier New"/>
        </w:rPr>
        <w:t xml:space="preserve"> en un CIEN POR CIENTO (100%) la deuda vencida y a vencer de las Tasas por Servicios a la Propiedad hasta el 31 de Diciembre de 2009, correspondientes al inmueble Designación Catastral 01-01-377-010-000.-</w:t>
      </w:r>
    </w:p>
    <w:p>
      <w:pPr>
        <w:ind w:left="748"/>
        <w:jc w:val="right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pStyle w:val="P14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113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SOLICITAR </w:t>
      </w:r>
      <w:r>
        <w:rPr>
          <w:rStyle w:val="C3"/>
          <w:rFonts w:ascii="Courier New" w:hAnsi="Courier New"/>
        </w:rPr>
        <w:t>al Sr. Intendente, interceda ante el o los procuradores actuantes a fin de dejar sin efecto el o los juicios iniciados y honorarios generados, exceptuando derechos y tasa de justicia a tales fines.-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 PROTOCOLÍCESE</w:t>
      </w:r>
      <w:r>
        <w:rPr>
          <w:rStyle w:val="C3"/>
          <w:rFonts w:ascii="Courier New" w:hAnsi="Courier New"/>
        </w:rPr>
        <w:t>, Comuníquese, publíquese la presente Ordenanza en el Boletín Oficial de la Municipalidad de Alta Gracia, transcríbase al libro de Ordenanzas y archívese.-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5"/>
      </w:pPr>
      <w:r>
        <w:t>DADA EN LA SALA DE SESIONES DEL HONORABLE CONCEJO DELIBERANTE A LOS DOCE DÍAS DEL MES DE AGOSTO DEL AÑO DOS MIL NUEVE.-</w:t>
      </w:r>
    </w:p>
    <w:p>
      <w:pPr>
        <w:jc w:val="both"/>
        <w:rPr>
          <w:rStyle w:val="C3"/>
          <w:rFonts w:ascii="Courier New" w:hAnsi="Courier New"/>
        </w:rPr>
      </w:pP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4933849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448312F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4C0A51DF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6">
    <w:nsid w:val="4C661CEC"/>
    <w:multiLevelType w:val="hybridMultilevel"/>
    <w:lvl w:ilvl="0" w:tplc="03E90E86">
      <w:start w:val="2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502DEC2F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21AEB4FA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3292A029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20D4809D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5651C7DE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1648A2AB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338D609F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66ED5E5A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7">
    <w:nsid w:val="4F8F54B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643C11C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1">
    <w:nsid w:val="6FCB7CE4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74E828BD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2"/>
  </w:num>
  <w:num w:numId="5">
    <w:abstractNumId w:val="10"/>
  </w:num>
  <w:num w:numId="6">
    <w:abstractNumId w:val="11"/>
  </w:num>
  <w:num w:numId="7">
    <w:abstractNumId w:val="7"/>
  </w:num>
  <w:num w:numId="8">
    <w:abstractNumId w:val="6"/>
  </w:num>
  <w:num w:numId="9">
    <w:abstractNumId w:val="9"/>
  </w:num>
  <w:num w:numId="10">
    <w:abstractNumId w:val="12"/>
  </w:num>
  <w:num w:numId="11">
    <w:abstractNumId w:val="0"/>
  </w:num>
  <w:num w:numId="12">
    <w:abstractNumId w:val="5"/>
  </w:num>
  <w:num w:numId="13">
    <w:abstractNumId w:val="4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exto independiente"/>
    <w:basedOn w:val="P0"/>
    <w:next w:val="P9"/>
    <w:pPr>
      <w:jc w:val="both"/>
    </w:pPr>
    <w:rPr>
      <w:rFonts w:ascii="Courier New" w:hAnsi="Courier New"/>
    </w:rPr>
  </w:style>
  <w:style w:type="paragraph" w:styleId="P10">
    <w:name w:val="Sangría de t. independiente"/>
    <w:basedOn w:val="P0"/>
    <w:next w:val="P10"/>
    <w:pPr>
      <w:ind w:left="748"/>
      <w:jc w:val="both"/>
    </w:pPr>
    <w:rPr>
      <w:rFonts w:ascii="Courier New" w:hAnsi="Courier New"/>
    </w:rPr>
  </w:style>
  <w:style w:type="paragraph" w:styleId="P11">
    <w:name w:val="Sangría 2 de t. independiente"/>
    <w:basedOn w:val="P0"/>
    <w:next w:val="P11"/>
    <w:pPr>
      <w:ind w:hanging="748" w:left="748"/>
      <w:jc w:val="both"/>
    </w:pPr>
    <w:rPr>
      <w:rFonts w:ascii="Courier New" w:hAnsi="Courier New"/>
    </w:rPr>
  </w:style>
  <w:style w:type="paragraph" w:styleId="P12">
    <w:name w:val="Sangría 3 de t. independiente"/>
    <w:basedOn w:val="P0"/>
    <w:next w:val="P12"/>
    <w:pPr>
      <w:ind w:left="748"/>
      <w:jc w:val="both"/>
    </w:pPr>
    <w:rPr>
      <w:rFonts w:ascii="Courier New" w:hAnsi="Courier New"/>
      <w:b w:val="1"/>
    </w:rPr>
  </w:style>
  <w:style w:type="paragraph" w:styleId="P13">
    <w:name w:val="Encabezado"/>
    <w:basedOn w:val="P0"/>
    <w:next w:val="P13"/>
    <w:pPr>
      <w:tabs>
        <w:tab w:val="center" w:pos="4252" w:leader="none"/>
        <w:tab w:val="right" w:pos="8504" w:leader="none"/>
      </w:tabs>
    </w:pPr>
    <w:rPr/>
  </w:style>
  <w:style w:type="paragraph" w:styleId="P14">
    <w:name w:val="Texto independiente 2"/>
    <w:basedOn w:val="P0"/>
    <w:next w:val="P14"/>
    <w:pPr/>
    <w:rPr>
      <w:rFonts w:ascii="Arial" w:hAnsi="Arial"/>
      <w:b w:val="1"/>
      <w:sz w:val="28"/>
    </w:rPr>
  </w:style>
  <w:style w:type="paragraph" w:styleId="P15">
    <w:name w:val="Texto independiente 3"/>
    <w:basedOn w:val="P0"/>
    <w:next w:val="P15"/>
    <w:pPr>
      <w:jc w:val="both"/>
    </w:pPr>
    <w:rPr>
      <w:rFonts w:ascii="Courier New" w:hAnsi="Courier New"/>
      <w:b w:val="1"/>
    </w:rPr>
  </w:style>
  <w:style w:type="paragraph" w:styleId="P16">
    <w:name w:val="Título"/>
    <w:basedOn w:val="P0"/>
    <w:next w:val="P16"/>
    <w:pPr>
      <w:jc w:val="center"/>
    </w:pPr>
    <w:rPr>
      <w:rFonts w:ascii="Courier New" w:hAnsi="Courier New"/>
      <w:b w:val="1"/>
      <w:u w:val="single"/>
    </w:rPr>
  </w:style>
  <w:style w:type="paragraph" w:styleId="P17">
    <w:name w:val="Normal (Web)"/>
    <w:basedOn w:val="P0"/>
    <w:next w:val="P17"/>
    <w:pPr>
      <w:spacing w:before="100" w:after="100"/>
    </w:pPr>
    <w:rPr/>
  </w:style>
  <w:style w:type="paragraph" w:styleId="P18">
    <w:name w:val="Texto sin formato"/>
    <w:basedOn w:val="P0"/>
    <w:next w:val="P18"/>
    <w:pPr/>
    <w:rPr>
      <w:rFonts w:ascii="Courier New" w:hAnsi="Courier New"/>
      <w:sz w:val="20"/>
    </w:rPr>
  </w:style>
  <w:style w:type="paragraph" w:styleId="P19">
    <w:name w:val="Remite de sobre"/>
    <w:basedOn w:val="P0"/>
    <w:next w:val="P19"/>
    <w:pPr>
      <w:jc w:val="both"/>
    </w:pPr>
    <w:rPr>
      <w:rFonts w:ascii="Benguiat Bk BT" w:hAnsi="Benguiat Bk BT"/>
      <w:b w:val="1"/>
      <w:i w:val="1"/>
      <w:u w:val="single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2009-08-14T02:36:00Z</dcterms:created>
  <cp:lastModifiedBy>Ethan Puglia</cp:lastModifiedBy>
  <cp:lastPrinted>2009-08-14T02:33:00Z</cp:lastPrinted>
  <dcterms:modified xsi:type="dcterms:W3CDTF">2019-03-28T17:34:13Z</dcterms:modified>
  <cp:revision>7</cp:revision>
  <dc:title>PROYECTO DE ORDENANZA VIOLENCIA FAMILIAR</dc:title>
</cp:coreProperties>
</file>