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B64B75A" Type="http://schemas.openxmlformats.org/officeDocument/2006/relationships/officeDocument" Target="/word/document.xml" /><Relationship Id="coreR5B64B75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4"/>
        <w:ind w:left="113"/>
        <w:jc w:val="center"/>
        <w:rPr>
          <w:rStyle w:val="C3"/>
          <w:rFonts w:ascii="Courier New" w:hAnsi="Courier New"/>
          <w:b w:val="1"/>
          <w:sz w:val="24"/>
        </w:rPr>
      </w:pPr>
    </w:p>
    <w:p>
      <w:pPr>
        <w:pStyle w:val="P14"/>
        <w:ind w:left="113"/>
        <w:jc w:val="center"/>
        <w:rPr>
          <w:rStyle w:val="C3"/>
          <w:rFonts w:ascii="Courier New" w:hAnsi="Courier New"/>
          <w:b w:val="1"/>
          <w:sz w:val="24"/>
        </w:rPr>
      </w:pPr>
    </w:p>
    <w:p>
      <w:pPr>
        <w:pStyle w:val="P14"/>
        <w:ind w:left="113"/>
        <w:jc w:val="center"/>
        <w:rPr>
          <w:rStyle w:val="C3"/>
          <w:rFonts w:ascii="Courier New" w:hAnsi="Courier New"/>
          <w:b w:val="1"/>
          <w:sz w:val="24"/>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8456</w:t>
      </w:r>
    </w:p>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1614/08, iniciado por Allende, Norberto M. – Habilitación Comercial – Disco Pub; y</w:t>
      </w:r>
    </w:p>
    <w:p>
      <w:pPr>
        <w:jc w:val="both"/>
        <w:rPr>
          <w:rStyle w:val="C3"/>
          <w:rFonts w:ascii="Courier New" w:hAnsi="Courier New"/>
        </w:rPr>
      </w:pPr>
    </w:p>
    <w:p>
      <w:pPr>
        <w:jc w:val="both"/>
        <w:rPr>
          <w:rStyle w:val="C3"/>
          <w:rFonts w:ascii="Courier New" w:hAnsi="Courier New"/>
        </w:rPr>
      </w:pPr>
    </w:p>
    <w:p>
      <w:pPr>
        <w:pStyle w:val="P2"/>
      </w:pPr>
      <w:r>
        <w:t>C O N S I D E R A N D O</w:t>
      </w:r>
    </w:p>
    <w:p>
      <w:pPr>
        <w:pStyle w:val="P9"/>
        <w:ind w:left="561"/>
      </w:pPr>
    </w:p>
    <w:p>
      <w:pPr>
        <w:ind w:left="561"/>
        <w:jc w:val="both"/>
        <w:rPr>
          <w:rStyle w:val="C3"/>
          <w:rFonts w:ascii="Courier New" w:hAnsi="Courier New"/>
        </w:rPr>
      </w:pPr>
      <w:r>
        <w:rPr>
          <w:rStyle w:val="C3"/>
          <w:rFonts w:ascii="Courier New" w:hAnsi="Courier New"/>
        </w:rPr>
        <w:t xml:space="preserve">Que en el mismo se solicita se mantenga la autorización para el uso del suelo otorgada en su momento por Ordenanza N° 7219, al Sr. Darío A. Gutiérrez, en el inmueble Designación Catastral 3-1-212-035, ubicado en Av. del Libertador N° 846, de Barrio Cafferatta de nuestra Ciudad, cuyo rubro y nombre de fantasía son: Disco-Pub “Diábolo”, a favor del Sr. Norberto Marcelo Allende;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Asesoría Letrada dictamina a Fs. 50, que las autorizaciones excepcionales libradas por este Cuerpo Legislativo, son en forma personalizada, por lo que previa certificación de las demás exigencias para su posterior habilitación por parte de las Áreas Técnicas, resulta imprescindible una extensión de dicha habilitación a favor del nuevo solicitante;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en virtud de lo dictaminado por Asesoría Letrada, la Comisión de Obras y Servicios Públicos solicitó al Sr. Darío A. Gutiérrez, la presentación de una nota en la cual manifestara lo expresado por el solicitante en nota a Fs. 2, la cuál se adjunta al presente;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 Fs. 53, la Secretaría General y de Coordinación Administrativa, por medio del Área Superior de Coordinación de la Gestión Administrativa informa que se ha cumplimentado con toda la documentación solicitada y se ha realizado la inspección de seguridad e higiene, constatándose que ha cumplimentado con los requisitos necesarios en estos casos, encontrándose en condiciones de funcionamiento como Disco-Pub;   </w:t>
      </w:r>
    </w:p>
    <w:p>
      <w:pPr>
        <w:jc w:val="right"/>
        <w:rPr>
          <w:rStyle w:val="C3"/>
          <w:rFonts w:ascii="Courier New" w:hAnsi="Courier New"/>
        </w:rPr>
      </w:pPr>
      <w:r>
        <w:rPr>
          <w:rStyle w:val="C3"/>
          <w:rFonts w:ascii="Courier New" w:hAnsi="Courier New"/>
        </w:rPr>
        <w:t xml:space="preserve">  ...///</w:t>
      </w: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748"/>
        <w:jc w:val="both"/>
        <w:rPr>
          <w:rStyle w:val="C3"/>
          <w:rFonts w:ascii="Courier New" w:hAnsi="Courier New"/>
        </w:rPr>
      </w:pPr>
    </w:p>
    <w:p>
      <w:pPr>
        <w:ind w:left="113"/>
        <w:jc w:val="both"/>
        <w:rPr>
          <w:rStyle w:val="C3"/>
          <w:rFonts w:ascii="Courier New" w:hAnsi="Courier New"/>
        </w:rPr>
      </w:pPr>
      <w:r>
        <w:rPr>
          <w:rStyle w:val="C3"/>
          <w:rFonts w:ascii="Courier New" w:hAnsi="Courier New"/>
        </w:rPr>
        <w:t>...///2.-</w:t>
      </w:r>
    </w:p>
    <w:p>
      <w:pPr>
        <w:jc w:val="center"/>
        <w:rPr>
          <w:rStyle w:val="C3"/>
          <w:rFonts w:ascii="Courier New" w:hAnsi="Courier New"/>
          <w:b w:val="1"/>
        </w:rPr>
      </w:pPr>
    </w:p>
    <w:p>
      <w:pPr>
        <w:ind w:left="561"/>
        <w:jc w:val="both"/>
        <w:rPr>
          <w:rStyle w:val="C3"/>
          <w:rFonts w:ascii="Courier New" w:hAnsi="Courier New"/>
        </w:rPr>
      </w:pPr>
      <w:r>
        <w:rPr>
          <w:rStyle w:val="C3"/>
          <w:rFonts w:ascii="Courier New" w:hAnsi="Courier New"/>
        </w:rPr>
        <w:t xml:space="preserve">Que a Fs. 54 y 55, el Área de Gestión Ambiental informa que por ser la actividad a desarrollar como de bajo impacto, no corresponde que se realice el procedimiento de Evaluación de Impacto Ambiental, en un todo de acuerdo a lo establecido por el Código de Ambiente de nuestra Ciudad, Ordenanza N° 7942 y su Decreto Reglamentario 1289/08; </w:t>
      </w:r>
    </w:p>
    <w:p>
      <w:pPr>
        <w:ind w:left="561"/>
        <w:jc w:val="both"/>
        <w:rPr>
          <w:rStyle w:val="C3"/>
          <w:rFonts w:ascii="Courier New" w:hAnsi="Courier New"/>
        </w:rPr>
      </w:pPr>
    </w:p>
    <w:p>
      <w:pPr>
        <w:pStyle w:val="P10"/>
        <w:ind w:left="561"/>
      </w:pPr>
      <w:r>
        <w:t>Que analizado el Expediente de Referencia por la Comisión de Obras y Servicios Públicos, la misma emite despacho favorable, aprobado por Unanimidad en Sesión Ordinaria del día 12 de Agosto de 2009;</w:t>
      </w:r>
    </w:p>
    <w:p>
      <w:pPr>
        <w:pStyle w:val="P10"/>
        <w:ind w:left="561"/>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0"/>
        <w:ind w:left="561"/>
        <w:rPr>
          <w:rStyle w:val="C3"/>
          <w:b w:val="1"/>
        </w:rPr>
      </w:pPr>
      <w:r>
        <w:rPr>
          <w:rStyle w:val="C3"/>
          <w:b w:val="1"/>
        </w:rPr>
        <w:t xml:space="preserve">    ALTA GRACIA SANCIONA CON FUERZA DE ORDENANZA</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EXTIÉNDASE</w:t>
      </w:r>
      <w:r>
        <w:rPr>
          <w:rStyle w:val="C3"/>
          <w:rFonts w:ascii="Courier New" w:hAnsi="Courier New"/>
        </w:rPr>
        <w:t xml:space="preserve"> lo determinado por la Ordenanza N° 7219, a favor del Sr. Norberto Marcelo Allende, DNI: 11.092.759.-</w:t>
      </w:r>
    </w:p>
    <w:p>
      <w:pPr>
        <w:jc w:val="center"/>
        <w:rPr>
          <w:rStyle w:val="C3"/>
          <w:rFonts w:ascii="Courier New" w:hAnsi="Courier New"/>
          <w:b w:val="1"/>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pStyle w:val="P15"/>
      </w:pPr>
      <w:r>
        <w:t>DADA EN LA SALA DE SESIONES DEL HONORABLE CONCEJO DELIBERANTE A LOS DOCE DÍAS DEL MES DE AGOSTO DEL AÑO DOS MIL NUEVE.-</w:t>
      </w: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7D5695A3">
      <w:start w:val="2"/>
      <w:numFmt w:val="bullet"/>
      <w:suff w:val="tab"/>
      <w:lvlText w:val="-"/>
      <w:lvlJc w:val="left"/>
      <w:pPr>
        <w:ind w:hanging="360" w:left="1080"/>
        <w:tabs>
          <w:tab w:val="left" w:pos="1080" w:leader="none"/>
        </w:tabs>
      </w:pPr>
      <w:rPr>
        <w:rFonts w:ascii="Courier New" w:hAnsi="Courier New"/>
      </w:rPr>
    </w:lvl>
    <w:lvl w:ilvl="1" w:tplc="7D23BD53">
      <w:start w:val="1"/>
      <w:numFmt w:val="bullet"/>
      <w:suff w:val="tab"/>
      <w:lvlText w:val="o"/>
      <w:lvlJc w:val="left"/>
      <w:pPr>
        <w:ind w:hanging="360" w:left="1800"/>
        <w:tabs>
          <w:tab w:val="left" w:pos="1800" w:leader="none"/>
        </w:tabs>
      </w:pPr>
      <w:rPr>
        <w:rFonts w:ascii="Courier New" w:hAnsi="Courier New"/>
      </w:rPr>
    </w:lvl>
    <w:lvl w:ilvl="2" w:tplc="6C4B4CFB">
      <w:start w:val="1"/>
      <w:numFmt w:val="bullet"/>
      <w:suff w:val="tab"/>
      <w:lvlText w:val=""/>
      <w:lvlJc w:val="left"/>
      <w:pPr>
        <w:ind w:hanging="360" w:left="2520"/>
        <w:tabs>
          <w:tab w:val="left" w:pos="2520" w:leader="none"/>
        </w:tabs>
      </w:pPr>
      <w:rPr>
        <w:rFonts w:ascii="Wingdings" w:hAnsi="Wingdings"/>
      </w:rPr>
    </w:lvl>
    <w:lvl w:ilvl="3" w:tplc="1B90D1CD">
      <w:start w:val="1"/>
      <w:numFmt w:val="bullet"/>
      <w:suff w:val="tab"/>
      <w:lvlText w:val=""/>
      <w:lvlJc w:val="left"/>
      <w:pPr>
        <w:ind w:hanging="360" w:left="3240"/>
        <w:tabs>
          <w:tab w:val="left" w:pos="3240" w:leader="none"/>
        </w:tabs>
      </w:pPr>
      <w:rPr>
        <w:rFonts w:ascii="Symbol" w:hAnsi="Symbol"/>
      </w:rPr>
    </w:lvl>
    <w:lvl w:ilvl="4" w:tplc="1D504FB4">
      <w:start w:val="1"/>
      <w:numFmt w:val="bullet"/>
      <w:suff w:val="tab"/>
      <w:lvlText w:val="o"/>
      <w:lvlJc w:val="left"/>
      <w:pPr>
        <w:ind w:hanging="360" w:left="3960"/>
        <w:tabs>
          <w:tab w:val="left" w:pos="3960" w:leader="none"/>
        </w:tabs>
      </w:pPr>
      <w:rPr>
        <w:rFonts w:ascii="Courier New" w:hAnsi="Courier New"/>
      </w:rPr>
    </w:lvl>
    <w:lvl w:ilvl="5" w:tplc="348B4D0E">
      <w:start w:val="1"/>
      <w:numFmt w:val="bullet"/>
      <w:suff w:val="tab"/>
      <w:lvlText w:val=""/>
      <w:lvlJc w:val="left"/>
      <w:pPr>
        <w:ind w:hanging="360" w:left="4680"/>
        <w:tabs>
          <w:tab w:val="left" w:pos="4680" w:leader="none"/>
        </w:tabs>
      </w:pPr>
      <w:rPr>
        <w:rFonts w:ascii="Wingdings" w:hAnsi="Wingdings"/>
      </w:rPr>
    </w:lvl>
    <w:lvl w:ilvl="6" w:tplc="2814966F">
      <w:start w:val="1"/>
      <w:numFmt w:val="bullet"/>
      <w:suff w:val="tab"/>
      <w:lvlText w:val=""/>
      <w:lvlJc w:val="left"/>
      <w:pPr>
        <w:ind w:hanging="360" w:left="5400"/>
        <w:tabs>
          <w:tab w:val="left" w:pos="5400" w:leader="none"/>
        </w:tabs>
      </w:pPr>
      <w:rPr>
        <w:rFonts w:ascii="Symbol" w:hAnsi="Symbol"/>
      </w:rPr>
    </w:lvl>
    <w:lvl w:ilvl="7" w:tplc="7A1E7835">
      <w:start w:val="1"/>
      <w:numFmt w:val="bullet"/>
      <w:suff w:val="tab"/>
      <w:lvlText w:val="o"/>
      <w:lvlJc w:val="left"/>
      <w:pPr>
        <w:ind w:hanging="360" w:left="6120"/>
        <w:tabs>
          <w:tab w:val="left" w:pos="6120" w:leader="none"/>
        </w:tabs>
      </w:pPr>
      <w:rPr>
        <w:rFonts w:ascii="Courier New" w:hAnsi="Courier New"/>
      </w:rPr>
    </w:lvl>
    <w:lvl w:ilvl="8" w:tplc="74C77E83">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1"/>
  </w:num>
  <w:num w:numId="6">
    <w:abstractNumId w:val="12"/>
  </w:num>
  <w:num w:numId="7">
    <w:abstractNumId w:val="8"/>
  </w:num>
  <w:num w:numId="8">
    <w:abstractNumId w:val="6"/>
  </w:num>
  <w:num w:numId="9">
    <w:abstractNumId w:val="10"/>
  </w:num>
  <w:num w:numId="10">
    <w:abstractNumId w:val="13"/>
  </w:num>
  <w:num w:numId="11">
    <w:abstractNumId w:val="0"/>
  </w:num>
  <w:num w:numId="12">
    <w:abstractNumId w:val="5"/>
  </w:num>
  <w:num w:numId="13">
    <w:abstractNumId w:val="4"/>
  </w:num>
  <w:num w:numId="14">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exto independiente"/>
    <w:basedOn w:val="P0"/>
    <w:next w:val="P9"/>
    <w:pPr>
      <w:jc w:val="both"/>
    </w:pPr>
    <w:rPr>
      <w:rFonts w:ascii="Courier New" w:hAnsi="Courier New"/>
    </w:rPr>
  </w:style>
  <w:style w:type="paragraph" w:styleId="P10">
    <w:name w:val="Sangría de t. independiente"/>
    <w:basedOn w:val="P0"/>
    <w:next w:val="P10"/>
    <w:pPr>
      <w:ind w:left="748"/>
      <w:jc w:val="both"/>
    </w:pPr>
    <w:rPr>
      <w:rFonts w:ascii="Courier New" w:hAnsi="Courier New"/>
    </w:rPr>
  </w:style>
  <w:style w:type="paragraph" w:styleId="P11">
    <w:name w:val="Sangría 2 de t. independiente"/>
    <w:basedOn w:val="P0"/>
    <w:next w:val="P11"/>
    <w:pPr>
      <w:ind w:hanging="748" w:left="748"/>
      <w:jc w:val="both"/>
    </w:pPr>
    <w:rPr>
      <w:rFonts w:ascii="Courier New" w:hAnsi="Courier New"/>
    </w:rPr>
  </w:style>
  <w:style w:type="paragraph" w:styleId="P12">
    <w:name w:val="Sangría 3 de t. independiente"/>
    <w:basedOn w:val="P0"/>
    <w:next w:val="P12"/>
    <w:pPr>
      <w:ind w:left="748"/>
      <w:jc w:val="both"/>
    </w:pPr>
    <w:rPr>
      <w:rFonts w:ascii="Courier New" w:hAnsi="Courier New"/>
      <w:b w:val="1"/>
    </w:rPr>
  </w:style>
  <w:style w:type="paragraph" w:styleId="P13">
    <w:name w:val="Encabezado"/>
    <w:basedOn w:val="P0"/>
    <w:next w:val="P13"/>
    <w:pPr>
      <w:tabs>
        <w:tab w:val="center" w:pos="4252" w:leader="none"/>
        <w:tab w:val="right" w:pos="8504" w:leader="none"/>
      </w:tabs>
    </w:pPr>
    <w:rPr/>
  </w:style>
  <w:style w:type="paragraph" w:styleId="P14">
    <w:name w:val="Texto independiente 2"/>
    <w:basedOn w:val="P0"/>
    <w:next w:val="P14"/>
    <w:pPr/>
    <w:rPr>
      <w:rFonts w:ascii="Arial" w:hAnsi="Arial"/>
      <w:b w:val="1"/>
      <w:sz w:val="28"/>
    </w:rPr>
  </w:style>
  <w:style w:type="paragraph" w:styleId="P15">
    <w:name w:val="Texto independiente 3"/>
    <w:basedOn w:val="P0"/>
    <w:next w:val="P15"/>
    <w:pPr>
      <w:jc w:val="both"/>
    </w:pPr>
    <w:rPr>
      <w:rFonts w:ascii="Courier New" w:hAnsi="Courier New"/>
      <w:b w:val="1"/>
    </w:rPr>
  </w:style>
  <w:style w:type="paragraph" w:styleId="P16">
    <w:name w:val="Título"/>
    <w:basedOn w:val="P0"/>
    <w:next w:val="P16"/>
    <w:pPr>
      <w:jc w:val="center"/>
    </w:pPr>
    <w:rPr>
      <w:rFonts w:ascii="Courier New" w:hAnsi="Courier New"/>
      <w:b w:val="1"/>
      <w:u w:val="single"/>
    </w:rPr>
  </w:style>
  <w:style w:type="paragraph" w:styleId="P17">
    <w:name w:val="Normal (Web)"/>
    <w:basedOn w:val="P0"/>
    <w:next w:val="P17"/>
    <w:pPr>
      <w:spacing w:before="100" w:after="100"/>
    </w:pPr>
    <w:rPr/>
  </w:style>
  <w:style w:type="paragraph" w:styleId="P18">
    <w:name w:val="Texto sin formato"/>
    <w:basedOn w:val="P0"/>
    <w:next w:val="P18"/>
    <w:pPr/>
    <w:rPr>
      <w:rFonts w:ascii="Courier New" w:hAnsi="Courier New"/>
      <w:sz w:val="20"/>
    </w:rPr>
  </w:style>
  <w:style w:type="paragraph" w:styleId="P19">
    <w:name w:val="Remite de sobre"/>
    <w:basedOn w:val="P0"/>
    <w:next w:val="P19"/>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2009-08-14T22:10:00Z</dcterms:created>
  <cp:lastModifiedBy>Ethan Puglia</cp:lastModifiedBy>
  <cp:lastPrinted>2009-08-14T04:28:00Z</cp:lastPrinted>
  <dcterms:modified xsi:type="dcterms:W3CDTF">2019-03-28T17:34:13Z</dcterms:modified>
  <cp:revision>7</cp:revision>
  <dc:title>PROYECTO DE ORDENANZA VIOLENCIA FAMILIAR</dc:title>
</cp:coreProperties>
</file>