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53E520" Type="http://schemas.openxmlformats.org/officeDocument/2006/relationships/officeDocument" Target="/word/document.xml" /><Relationship Id="coreR4053E5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5"/>
        <w:ind w:left="113"/>
        <w:jc w:val="center"/>
        <w:rPr>
          <w:rStyle w:val="C3"/>
          <w:rFonts w:ascii="Small Fonts" w:hAnsi="Small Fonts"/>
          <w:b w:val="1"/>
          <w:sz w:val="24"/>
        </w:rPr>
      </w:pPr>
    </w:p>
    <w:p>
      <w:pPr>
        <w:pStyle w:val="P15"/>
        <w:ind w:left="113"/>
        <w:jc w:val="center"/>
        <w:rPr>
          <w:rStyle w:val="C3"/>
          <w:rFonts w:ascii="Courier New" w:hAnsi="Courier New"/>
          <w:b w:val="1"/>
          <w:sz w:val="24"/>
        </w:rPr>
      </w:pPr>
    </w:p>
    <w:p>
      <w:pPr>
        <w:pStyle w:val="P15"/>
        <w:ind w:left="113"/>
        <w:jc w:val="center"/>
        <w:rPr>
          <w:rStyle w:val="C3"/>
          <w:rFonts w:ascii="Courier New" w:hAnsi="Courier New"/>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8463</w:t>
      </w:r>
    </w:p>
    <w:p/>
    <w:p>
      <w:pPr>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355/I/09 sobre el Predio de Ferrocarril y la necesidad de la construcción del Polideportivo y Auditorio Municipal; y</w:t>
      </w:r>
    </w:p>
    <w:p>
      <w:pPr>
        <w:jc w:val="both"/>
        <w:rPr>
          <w:rStyle w:val="C3"/>
          <w:rFonts w:ascii="Courier New" w:hAnsi="Courier New"/>
        </w:rPr>
      </w:pPr>
    </w:p>
    <w:p>
      <w:pPr>
        <w:pStyle w:val="P2"/>
        <w:rPr>
          <w:rStyle w:val="C3"/>
        </w:rPr>
      </w:pPr>
    </w:p>
    <w:p>
      <w:pPr>
        <w:pStyle w:val="P2"/>
      </w:pPr>
      <w:r>
        <w:t>C O N S I D E R A N D O</w:t>
      </w:r>
    </w:p>
    <w:p/>
    <w:p>
      <w:pPr>
        <w:pStyle w:val="P10"/>
        <w:ind w:left="561"/>
      </w:pPr>
    </w:p>
    <w:p>
      <w:pPr>
        <w:pStyle w:val="P10"/>
        <w:ind w:left="561"/>
      </w:pPr>
      <w:r>
        <w:t>Que la Ciudad de Alta Gracia, cabecera del Departamento Santa María, con pujante actividad comercial, de servicios regionales, de perfil turístico cultural y cuna de relevantes deportistas en distintas disciplinas que destacaron y se destacan a nivel Internacional, Nacional, Provincial y Local, lamentablemente presenta una problemática con respecto al equipamiento necesario para el desarrollo de distintas actividades comunitarias;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carencia de edificios especiales cubiertos, con destino a diversas e integrales actividades de índole deportiva y de salas adaptables para eventos culturales de una envergadura acorde a la población de la Ciudad de Alta Gracia, generan la necesidad de plantear una obra de magnitud adecuada a los requerimientos señalados;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ubicación determinada para la localización del edificio proyectado, en el predio del Ex Ferrocarril Central Argentino con línea terminal en la Ciudad de Alta Gracia, forma parte, como proyecto, del programa elaborado dentro de un Plan de reactivación del Eje Ferrocarrilero, con fines turísticos, educativos culturales de la Cuidad de Alta Gracia;</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5"/>
        <w:ind w:left="113"/>
        <w:jc w:val="center"/>
        <w:rPr>
          <w:rStyle w:val="C3"/>
          <w:rFonts w:ascii="JaneAusten" w:hAnsi="JaneAusten"/>
          <w:b w:val="1"/>
          <w:sz w:val="24"/>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el Expediente de referencia se encuentra detallado el ante proyecto planteado, memoria descriptiva, presupuesto estimativo y piezas graficas del proyecto, cumplimentando así con lo solicitado por el Ministerio de Obras Publicas de la Provincia de Córdoba para acceder a la financiación a través del Fondo Federal Solidario, requisito previo para acceder a la firma del convenio respectivo;</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Obras y Servicios Públicos, la misma emite despacho aprobado en General por Unanimidad y en Particular por Mayoría en Sesión Ordinaria del día 26 de Agosto de 2009;</w:t>
      </w:r>
    </w:p>
    <w:p>
      <w:pPr>
        <w:ind w:left="113"/>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1"/>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hanging="748" w:left="561"/>
        <w:jc w:val="both"/>
        <w:rPr>
          <w:rStyle w:val="C3"/>
          <w:rFonts w:ascii="Courier New" w:hAnsi="Courier New"/>
          <w:b w:val="1"/>
          <w:u w:val="single"/>
        </w:rPr>
      </w:pPr>
    </w:p>
    <w:p>
      <w:pPr>
        <w:ind w:hanging="748" w:left="561"/>
        <w:jc w:val="both"/>
        <w:rPr>
          <w:rStyle w:val="C3"/>
          <w:rFonts w:ascii="Courier New" w:hAnsi="Courier New"/>
          <w:b w:val="1"/>
          <w:u w:val="single"/>
        </w:rPr>
      </w:pPr>
    </w:p>
    <w:p>
      <w:pPr>
        <w:ind w:hanging="748"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AUTORÍZASE</w:t>
      </w:r>
      <w:r>
        <w:rPr>
          <w:rStyle w:val="C3"/>
          <w:rFonts w:ascii="Courier New" w:hAnsi="Courier New"/>
        </w:rPr>
        <w:t xml:space="preserve"> al Departamento Ejecutivo a la realización del Proyecto de Construcción del Polideportivo y Auditorio Municipal de la Ciudad de Alta Gracia, cuya localización destinada se centrará en el predio del Ex Ferrocarril Central Argentino, el cual deberá encuadrarse dentro de las pautas establecidas por la normativa vigente en la materia (Ordenanza N° 1294 “Código de Edificación y Urbanización de Alta Gracia” y sus modificatorias).-</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AUTORIZASE</w:t>
      </w:r>
      <w:r>
        <w:rPr>
          <w:rStyle w:val="C3"/>
          <w:rFonts w:ascii="Courier New" w:hAnsi="Courier New"/>
        </w:rPr>
        <w:t xml:space="preserve"> al Departamento Ejecutivo, para la realización del proyecto descripto supra, acceder a la financiación del Fondo Federal Solidario.-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b w:val="1"/>
          <w:u w:val="single"/>
        </w:rPr>
      </w:pPr>
    </w:p>
    <w:p>
      <w:pPr>
        <w:pStyle w:val="P15"/>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presente ordenanza tendrá vigencia a partir de la fecha de su promulgación conforme a lo previsto en el Artículo 24° de la Carta Orgánica Municipal.-</w:t>
      </w:r>
    </w:p>
    <w:p>
      <w:pPr>
        <w:ind w:hanging="748" w:left="561"/>
        <w:jc w:val="both"/>
        <w:rPr>
          <w:rStyle w:val="C3"/>
          <w:rFonts w:ascii="Courier New" w:hAnsi="Courier New"/>
          <w:b w:val="1"/>
          <w:u w:val="single"/>
        </w:rPr>
      </w:pPr>
    </w:p>
    <w:p>
      <w:pPr>
        <w:ind w:hanging="748" w:left="561"/>
        <w:jc w:val="both"/>
        <w:rPr>
          <w:rStyle w:val="C3"/>
          <w:rFonts w:ascii="Courier New" w:hAnsi="Courier New"/>
        </w:rPr>
      </w:pPr>
      <w:r>
        <w:rPr>
          <w:rStyle w:val="C3"/>
          <w:rFonts w:ascii="Courier New" w:hAnsi="Courier New"/>
          <w:b w:val="1"/>
        </w:rPr>
        <w:t xml:space="preserve"> </w:t>
      </w:r>
      <w:r>
        <w:rPr>
          <w:rStyle w:val="C3"/>
          <w:rFonts w:ascii="Courier New" w:hAnsi="Courier New"/>
          <w:b w:val="1"/>
          <w:u w:val="single"/>
        </w:rPr>
        <w:t>Art.4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pStyle w:val="P16"/>
      </w:pPr>
      <w:r>
        <w:t>DADA EN LA SALA DE SESIONES DEL HONORABLE CONCEJO DELIBERANTE A LOS VEINTISEIS DÍAS DEL MES DE AGOSTO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71970A0B">
      <w:start w:val="2"/>
      <w:numFmt w:val="bullet"/>
      <w:suff w:val="tab"/>
      <w:lvlText w:val="-"/>
      <w:lvlJc w:val="left"/>
      <w:pPr>
        <w:ind w:hanging="360" w:left="1080"/>
        <w:tabs>
          <w:tab w:val="left" w:pos="1080" w:leader="none"/>
        </w:tabs>
      </w:pPr>
      <w:rPr>
        <w:rFonts w:ascii="Courier New" w:hAnsi="Courier New"/>
      </w:rPr>
    </w:lvl>
    <w:lvl w:ilvl="1" w:tplc="57094685">
      <w:start w:val="1"/>
      <w:numFmt w:val="bullet"/>
      <w:suff w:val="tab"/>
      <w:lvlText w:val="o"/>
      <w:lvlJc w:val="left"/>
      <w:pPr>
        <w:ind w:hanging="360" w:left="1800"/>
        <w:tabs>
          <w:tab w:val="left" w:pos="1800" w:leader="none"/>
        </w:tabs>
      </w:pPr>
      <w:rPr>
        <w:rFonts w:ascii="Courier New" w:hAnsi="Courier New"/>
      </w:rPr>
    </w:lvl>
    <w:lvl w:ilvl="2" w:tplc="62870BC1">
      <w:start w:val="1"/>
      <w:numFmt w:val="bullet"/>
      <w:suff w:val="tab"/>
      <w:lvlText w:val=""/>
      <w:lvlJc w:val="left"/>
      <w:pPr>
        <w:ind w:hanging="360" w:left="2520"/>
        <w:tabs>
          <w:tab w:val="left" w:pos="2520" w:leader="none"/>
        </w:tabs>
      </w:pPr>
      <w:rPr>
        <w:rFonts w:ascii="Wingdings" w:hAnsi="Wingdings"/>
      </w:rPr>
    </w:lvl>
    <w:lvl w:ilvl="3" w:tplc="07A6CDE4">
      <w:start w:val="1"/>
      <w:numFmt w:val="bullet"/>
      <w:suff w:val="tab"/>
      <w:lvlText w:val=""/>
      <w:lvlJc w:val="left"/>
      <w:pPr>
        <w:ind w:hanging="360" w:left="3240"/>
        <w:tabs>
          <w:tab w:val="left" w:pos="3240" w:leader="none"/>
        </w:tabs>
      </w:pPr>
      <w:rPr>
        <w:rFonts w:ascii="Symbol" w:hAnsi="Symbol"/>
      </w:rPr>
    </w:lvl>
    <w:lvl w:ilvl="4" w:tplc="47DD6278">
      <w:start w:val="1"/>
      <w:numFmt w:val="bullet"/>
      <w:suff w:val="tab"/>
      <w:lvlText w:val="o"/>
      <w:lvlJc w:val="left"/>
      <w:pPr>
        <w:ind w:hanging="360" w:left="3960"/>
        <w:tabs>
          <w:tab w:val="left" w:pos="3960" w:leader="none"/>
        </w:tabs>
      </w:pPr>
      <w:rPr>
        <w:rFonts w:ascii="Courier New" w:hAnsi="Courier New"/>
      </w:rPr>
    </w:lvl>
    <w:lvl w:ilvl="5" w:tplc="290A9A14">
      <w:start w:val="1"/>
      <w:numFmt w:val="bullet"/>
      <w:suff w:val="tab"/>
      <w:lvlText w:val=""/>
      <w:lvlJc w:val="left"/>
      <w:pPr>
        <w:ind w:hanging="360" w:left="4680"/>
        <w:tabs>
          <w:tab w:val="left" w:pos="4680" w:leader="none"/>
        </w:tabs>
      </w:pPr>
      <w:rPr>
        <w:rFonts w:ascii="Wingdings" w:hAnsi="Wingdings"/>
      </w:rPr>
    </w:lvl>
    <w:lvl w:ilvl="6" w:tplc="3B6A9DA6">
      <w:start w:val="1"/>
      <w:numFmt w:val="bullet"/>
      <w:suff w:val="tab"/>
      <w:lvlText w:val=""/>
      <w:lvlJc w:val="left"/>
      <w:pPr>
        <w:ind w:hanging="360" w:left="5400"/>
        <w:tabs>
          <w:tab w:val="left" w:pos="5400" w:leader="none"/>
        </w:tabs>
      </w:pPr>
      <w:rPr>
        <w:rFonts w:ascii="Symbol" w:hAnsi="Symbol"/>
      </w:rPr>
    </w:lvl>
    <w:lvl w:ilvl="7" w:tplc="128C33E6">
      <w:start w:val="1"/>
      <w:numFmt w:val="bullet"/>
      <w:suff w:val="tab"/>
      <w:lvlText w:val="o"/>
      <w:lvlJc w:val="left"/>
      <w:pPr>
        <w:ind w:hanging="360" w:left="6120"/>
        <w:tabs>
          <w:tab w:val="left" w:pos="6120" w:leader="none"/>
        </w:tabs>
      </w:pPr>
      <w:rPr>
        <w:rFonts w:ascii="Courier New" w:hAnsi="Courier New"/>
      </w:rPr>
    </w:lvl>
    <w:lvl w:ilvl="8" w:tplc="79379083">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exto independiente"/>
    <w:basedOn w:val="P0"/>
    <w:next w:val="P10"/>
    <w:pPr>
      <w:jc w:val="both"/>
    </w:pPr>
    <w:rPr>
      <w:rFonts w:ascii="Courier New" w:hAnsi="Courier New"/>
    </w:rPr>
  </w:style>
  <w:style w:type="paragraph" w:styleId="P11">
    <w:name w:val="Sangría de t. independiente"/>
    <w:basedOn w:val="P0"/>
    <w:next w:val="P11"/>
    <w:pPr>
      <w:ind w:left="748"/>
      <w:jc w:val="both"/>
    </w:pPr>
    <w:rPr>
      <w:rFonts w:ascii="Courier New" w:hAnsi="Courier New"/>
    </w:rPr>
  </w:style>
  <w:style w:type="paragraph" w:styleId="P12">
    <w:name w:val="Sangría 2 de t. independiente"/>
    <w:basedOn w:val="P0"/>
    <w:next w:val="P12"/>
    <w:pPr>
      <w:ind w:hanging="748" w:left="748"/>
      <w:jc w:val="both"/>
    </w:pPr>
    <w:rPr>
      <w:rFonts w:ascii="Courier New" w:hAnsi="Courier New"/>
    </w:rPr>
  </w:style>
  <w:style w:type="paragraph" w:styleId="P13">
    <w:name w:val="Sangría 3 de t. independiente"/>
    <w:basedOn w:val="P0"/>
    <w:next w:val="P13"/>
    <w:pPr>
      <w:ind w:left="748"/>
      <w:jc w:val="both"/>
    </w:pPr>
    <w:rPr>
      <w:rFonts w:ascii="Courier New" w:hAnsi="Courier New"/>
      <w:b w:val="1"/>
    </w:rPr>
  </w:style>
  <w:style w:type="paragraph" w:styleId="P14">
    <w:name w:val="Encabezado"/>
    <w:basedOn w:val="P0"/>
    <w:next w:val="P14"/>
    <w:pPr>
      <w:tabs>
        <w:tab w:val="center" w:pos="4252" w:leader="none"/>
        <w:tab w:val="right" w:pos="8504" w:leader="none"/>
      </w:tabs>
    </w:pPr>
    <w:rPr/>
  </w:style>
  <w:style w:type="paragraph" w:styleId="P15">
    <w:name w:val="Texto independiente 2"/>
    <w:basedOn w:val="P0"/>
    <w:next w:val="P15"/>
    <w:pPr/>
    <w:rPr>
      <w:rFonts w:ascii="Arial" w:hAnsi="Arial"/>
      <w:b w:val="1"/>
      <w:sz w:val="28"/>
    </w:rPr>
  </w:style>
  <w:style w:type="paragraph" w:styleId="P16">
    <w:name w:val="Texto independiente 3"/>
    <w:basedOn w:val="P0"/>
    <w:next w:val="P16"/>
    <w:pPr>
      <w:jc w:val="both"/>
    </w:pPr>
    <w:rPr>
      <w:rFonts w:ascii="Courier New" w:hAnsi="Courier New"/>
      <w:b w:val="1"/>
    </w:rPr>
  </w:style>
  <w:style w:type="paragraph" w:styleId="P17">
    <w:name w:val="Título"/>
    <w:basedOn w:val="P0"/>
    <w:next w:val="P17"/>
    <w:pPr>
      <w:jc w:val="center"/>
    </w:pPr>
    <w:rPr>
      <w:rFonts w:ascii="Courier New" w:hAnsi="Courier New"/>
      <w:b w:val="1"/>
      <w:u w:val="single"/>
    </w:rPr>
  </w:style>
  <w:style w:type="paragraph" w:styleId="P18">
    <w:name w:val="Normal (Web)"/>
    <w:basedOn w:val="P0"/>
    <w:next w:val="P18"/>
    <w:pPr>
      <w:spacing w:before="100" w:after="100"/>
    </w:pPr>
    <w:rPr/>
  </w:style>
  <w:style w:type="paragraph" w:styleId="P19">
    <w:name w:val="Texto sin formato"/>
    <w:basedOn w:val="P0"/>
    <w:next w:val="P19"/>
    <w:pPr/>
    <w:rPr>
      <w:rFonts w:ascii="Courier New" w:hAnsi="Courier New"/>
      <w:sz w:val="20"/>
    </w:rPr>
  </w:style>
  <w:style w:type="paragraph" w:styleId="P20">
    <w:name w:val="Remite de sobre"/>
    <w:basedOn w:val="P0"/>
    <w:next w:val="P20"/>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2009-08-28T01:40:00Z</dcterms:created>
  <cp:lastModifiedBy>Ethan Puglia</cp:lastModifiedBy>
  <cp:lastPrinted>2009-08-21T02:24:00Z</cp:lastPrinted>
  <dcterms:modified xsi:type="dcterms:W3CDTF">2019-03-28T17:34:13Z</dcterms:modified>
  <cp:revision>5</cp:revision>
  <dc:title>PROYECTO DE ORDENANZA VIOLENCIA FAMILIAR</dc:title>
</cp:coreProperties>
</file>