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CE3A257" Type="http://schemas.openxmlformats.org/officeDocument/2006/relationships/officeDocument" Target="/word/document.xml" /><Relationship Id="coreR3CE3A25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5"/>
        <w:ind w:left="113"/>
        <w:jc w:val="center"/>
        <w:rPr>
          <w:rStyle w:val="C3"/>
          <w:rFonts w:ascii="Small Fonts" w:hAnsi="Small Fonts"/>
          <w:b w:val="1"/>
          <w:sz w:val="24"/>
        </w:rPr>
      </w:pPr>
    </w:p>
    <w:p>
      <w:pPr>
        <w:pStyle w:val="P15"/>
        <w:ind w:left="113"/>
        <w:jc w:val="center"/>
        <w:rPr>
          <w:rStyle w:val="C3"/>
          <w:rFonts w:ascii="Courier New" w:hAnsi="Courier New"/>
          <w:b w:val="1"/>
          <w:sz w:val="24"/>
        </w:rPr>
      </w:pPr>
    </w:p>
    <w:p>
      <w:pPr>
        <w:pStyle w:val="P15"/>
        <w:ind w:left="113"/>
        <w:jc w:val="center"/>
        <w:rPr>
          <w:rStyle w:val="C3"/>
          <w:rFonts w:ascii="Courier New" w:hAnsi="Courier New"/>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8464</w:t>
      </w:r>
    </w:p>
    <w:p/>
    <w:p>
      <w:pPr>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Crisis Hídrica que atraviesa la Provincia de Córdoba y especialmente la Ciudad de Alta Gracia debido a la abrupta bajante del caudal del Río Anisacate única fuente de provisión de agua para la ciudad; y</w:t>
      </w:r>
    </w:p>
    <w:p>
      <w:pPr>
        <w:jc w:val="both"/>
        <w:rPr>
          <w:rStyle w:val="C3"/>
          <w:rFonts w:ascii="Courier New" w:hAnsi="Courier New"/>
        </w:rPr>
      </w:pPr>
    </w:p>
    <w:p>
      <w:pPr>
        <w:pStyle w:val="P2"/>
        <w:rPr>
          <w:rStyle w:val="C3"/>
        </w:rPr>
      </w:pPr>
    </w:p>
    <w:p>
      <w:pPr>
        <w:pStyle w:val="P2"/>
        <w:rPr>
          <w:rStyle w:val="C3"/>
        </w:rPr>
      </w:pPr>
    </w:p>
    <w:p>
      <w:pPr>
        <w:pStyle w:val="P2"/>
      </w:pPr>
      <w:r>
        <w:t>C O N S I D E R A N D O</w:t>
      </w:r>
    </w:p>
    <w:p/>
    <w:p>
      <w:pPr>
        <w:pStyle w:val="P10"/>
        <w:ind w:left="561"/>
      </w:pPr>
    </w:p>
    <w:p>
      <w:pPr>
        <w:ind w:left="561"/>
        <w:jc w:val="both"/>
        <w:rPr>
          <w:rStyle w:val="C3"/>
          <w:rFonts w:ascii="Courier New" w:hAnsi="Courier New"/>
        </w:rPr>
      </w:pPr>
      <w:r>
        <w:rPr>
          <w:rStyle w:val="C3"/>
          <w:rFonts w:ascii="Courier New" w:hAnsi="Courier New"/>
        </w:rPr>
        <w:t>Que es deber del Estado Municipal regular el uso del ambiente y de los recursos naturales, la protección de los derechos relativos al ambiente y ejecutar la política ambiental;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el marco de dicha política se debe propender a la preservación, conservación, defensa y mejoramiento del ambiente a través de la utilización ordenada y racional del conjunto de los recursos naturales, agua, suelo, etc;</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medidas adoptadas deben basarse en la principios de Prevención, Responsabilidad y Gradualidad;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resulta necesario acudir a todas las herramientas en aras de la concreción de acciones tendientes a procurar a los vecinos un ambiente sano, equilibrado y apto;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numerosas localidades de la Provincia de Córdoba han declarado el estado de emergencia hídrica teniendo en cuenta la situación generada por la falta de agua potable, la escasez de lluvias y el calor reinante;</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Río Anisacate, única fuente de abastecimiento de agua para nuestra ciudad ha disminuido su cota de nivel a parámetros alarmantes;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estima pertinente en este contexto instar a la población al uso racional del recurso hídrico;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totalidad de los Concejales, se resuelve por unanimidad su aprobación en Sesión Ordinaria del día 02 de Septiembre de 2009;</w:t>
      </w:r>
    </w:p>
    <w:p>
      <w:pPr>
        <w:ind w:left="113"/>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1"/>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hanging="748" w:left="561"/>
        <w:jc w:val="both"/>
        <w:rPr>
          <w:rStyle w:val="C3"/>
          <w:rFonts w:ascii="Courier New" w:hAnsi="Courier New"/>
          <w:b w:val="1"/>
          <w:u w:val="single"/>
        </w:rPr>
      </w:pPr>
    </w:p>
    <w:p>
      <w:pPr>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DECLARASE </w:t>
      </w:r>
      <w:r>
        <w:rPr>
          <w:rStyle w:val="C3"/>
          <w:rFonts w:ascii="Courier New" w:hAnsi="Courier New"/>
        </w:rPr>
        <w:t>la Emergencia Hídrica en el ámbito de la ciudad de Alta Gracia durante el periodo de tiempo que el Departamento Ejecutivo, a través de la Subdirección de Medio Ambiente, dependiente de la Secretaria de Servicios Públicos y Medio Ambiente, considere conveniente</w:t>
      </w:r>
      <w:r>
        <w:rPr>
          <w:rStyle w:val="C3"/>
          <w:rFonts w:ascii="Courier New" w:hAnsi="Courier New"/>
          <w:b w:val="1"/>
        </w:rPr>
        <w:t>.-</w:t>
      </w:r>
    </w:p>
    <w:p>
      <w:pPr>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PROHÍBASE</w:t>
      </w:r>
      <w:r>
        <w:rPr>
          <w:rStyle w:val="C3"/>
          <w:rFonts w:ascii="Courier New" w:hAnsi="Courier New"/>
          <w:b w:val="1"/>
        </w:rPr>
        <w:t xml:space="preserve"> </w:t>
      </w:r>
      <w:r>
        <w:rPr>
          <w:rStyle w:val="C3"/>
          <w:rFonts w:ascii="Courier New" w:hAnsi="Courier New"/>
        </w:rPr>
        <w:t>el uso del agua para el lavado domiciliario de automóviles, lavado de veredas, riego y llenado de piletas de natación</w:t>
      </w:r>
      <w:r>
        <w:rPr>
          <w:rStyle w:val="C3"/>
          <w:rFonts w:ascii="Courier New" w:hAnsi="Courier New"/>
          <w:b w:val="1"/>
        </w:rPr>
        <w:t>.-</w:t>
      </w:r>
    </w:p>
    <w:p>
      <w:pPr>
        <w:jc w:val="both"/>
        <w:rPr>
          <w:rStyle w:val="C3"/>
          <w:rFonts w:ascii="Courier New" w:hAnsi="Courier New"/>
          <w:b w:val="1"/>
        </w:rPr>
      </w:pPr>
    </w:p>
    <w:p>
      <w:pPr>
        <w:pStyle w:val="P10"/>
        <w:ind w:hanging="561" w:left="561"/>
      </w:pPr>
      <w:r>
        <w:rPr>
          <w:rStyle w:val="C3"/>
          <w:b w:val="1"/>
          <w:u w:val="single"/>
        </w:rPr>
        <w:t>Art.</w:t>
      </w:r>
      <w:r>
        <w:rPr>
          <w:rStyle w:val="C3"/>
          <w:b w:val="1"/>
          <w:u w:val="single"/>
        </w:rPr>
        <w:t>3</w:t>
      </w:r>
      <w:r>
        <w:rPr>
          <w:rStyle w:val="C3"/>
          <w:b w:val="1"/>
        </w:rPr>
        <w:t>: SANCIÓNESE</w:t>
      </w:r>
      <w:r>
        <w:t xml:space="preserve"> el incumplimiento de lo previsto en el art. 2 del presente, con multa mínima de VEINTE (20) UF  y máxima de CIEN (100) UF.-</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FACÚLT</w:t>
      </w:r>
      <w:r>
        <w:rPr>
          <w:rStyle w:val="C3"/>
          <w:rFonts w:ascii="Courier New" w:hAnsi="Courier New"/>
          <w:b w:val="1"/>
        </w:rPr>
        <w:t>A</w:t>
      </w:r>
      <w:r>
        <w:rPr>
          <w:rStyle w:val="C3"/>
          <w:rFonts w:ascii="Courier New" w:hAnsi="Courier New"/>
          <w:b w:val="1"/>
        </w:rPr>
        <w:t>SE</w:t>
      </w:r>
      <w:r>
        <w:rPr>
          <w:rStyle w:val="C3"/>
          <w:rFonts w:ascii="Courier New" w:hAnsi="Courier New"/>
          <w:b w:val="1"/>
        </w:rPr>
        <w:t xml:space="preserve"> </w:t>
      </w:r>
      <w:r>
        <w:rPr>
          <w:rStyle w:val="C3"/>
          <w:rFonts w:ascii="Courier New" w:hAnsi="Courier New"/>
        </w:rPr>
        <w:t>al Poder Ejecutivo Municipal, a través del área pertinente, a disponer las medidas necesarias a los fines de restringir el uso del recurso hídrico y a establecer las medidas de control necesarias para tal fin.-</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LA </w:t>
      </w:r>
      <w:r>
        <w:rPr>
          <w:rStyle w:val="C3"/>
          <w:rFonts w:ascii="Courier New" w:hAnsi="Courier New"/>
        </w:rPr>
        <w:t>presente Ordenanza tendrá vigencia a partir de su fecha de su promulgación y mientras dure la emergencia hídrica</w:t>
      </w:r>
      <w:r>
        <w:rPr>
          <w:rStyle w:val="C3"/>
          <w:rFonts w:ascii="Courier New" w:hAnsi="Courier New"/>
          <w:b w:val="1"/>
        </w:rPr>
        <w:t>.-</w:t>
      </w:r>
    </w:p>
    <w:p>
      <w:pPr>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PROTOCOLICESE, </w:t>
      </w:r>
      <w:r>
        <w:rPr>
          <w:rStyle w:val="C3"/>
          <w:rFonts w:ascii="Courier New" w:hAnsi="Courier New"/>
        </w:rPr>
        <w:t>comuníquese, publíquese en Edición Especial del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pPr>
      <w:r>
        <w:t>DADA EN LA SALA DE SESIONES DEL HONORABLE CONCEJO DELIBERANTE A LOS DOS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37541B7E">
      <w:start w:val="2"/>
      <w:numFmt w:val="bullet"/>
      <w:suff w:val="tab"/>
      <w:lvlText w:val="-"/>
      <w:lvlJc w:val="left"/>
      <w:pPr>
        <w:ind w:hanging="360" w:left="1080"/>
        <w:tabs>
          <w:tab w:val="left" w:pos="1080" w:leader="none"/>
        </w:tabs>
      </w:pPr>
      <w:rPr>
        <w:rFonts w:ascii="Courier New" w:hAnsi="Courier New"/>
      </w:rPr>
    </w:lvl>
    <w:lvl w:ilvl="1" w:tplc="300D0BDF">
      <w:start w:val="1"/>
      <w:numFmt w:val="bullet"/>
      <w:suff w:val="tab"/>
      <w:lvlText w:val="o"/>
      <w:lvlJc w:val="left"/>
      <w:pPr>
        <w:ind w:hanging="360" w:left="1800"/>
        <w:tabs>
          <w:tab w:val="left" w:pos="1800" w:leader="none"/>
        </w:tabs>
      </w:pPr>
      <w:rPr>
        <w:rFonts w:ascii="Courier New" w:hAnsi="Courier New"/>
      </w:rPr>
    </w:lvl>
    <w:lvl w:ilvl="2" w:tplc="399393A1">
      <w:start w:val="1"/>
      <w:numFmt w:val="bullet"/>
      <w:suff w:val="tab"/>
      <w:lvlText w:val=""/>
      <w:lvlJc w:val="left"/>
      <w:pPr>
        <w:ind w:hanging="360" w:left="2520"/>
        <w:tabs>
          <w:tab w:val="left" w:pos="2520" w:leader="none"/>
        </w:tabs>
      </w:pPr>
      <w:rPr>
        <w:rFonts w:ascii="Wingdings" w:hAnsi="Wingdings"/>
      </w:rPr>
    </w:lvl>
    <w:lvl w:ilvl="3" w:tplc="4490D3BA">
      <w:start w:val="1"/>
      <w:numFmt w:val="bullet"/>
      <w:suff w:val="tab"/>
      <w:lvlText w:val=""/>
      <w:lvlJc w:val="left"/>
      <w:pPr>
        <w:ind w:hanging="360" w:left="3240"/>
        <w:tabs>
          <w:tab w:val="left" w:pos="3240" w:leader="none"/>
        </w:tabs>
      </w:pPr>
      <w:rPr>
        <w:rFonts w:ascii="Symbol" w:hAnsi="Symbol"/>
      </w:rPr>
    </w:lvl>
    <w:lvl w:ilvl="4" w:tplc="2E9A01DA">
      <w:start w:val="1"/>
      <w:numFmt w:val="bullet"/>
      <w:suff w:val="tab"/>
      <w:lvlText w:val="o"/>
      <w:lvlJc w:val="left"/>
      <w:pPr>
        <w:ind w:hanging="360" w:left="3960"/>
        <w:tabs>
          <w:tab w:val="left" w:pos="3960" w:leader="none"/>
        </w:tabs>
      </w:pPr>
      <w:rPr>
        <w:rFonts w:ascii="Courier New" w:hAnsi="Courier New"/>
      </w:rPr>
    </w:lvl>
    <w:lvl w:ilvl="5" w:tplc="7C38E1AB">
      <w:start w:val="1"/>
      <w:numFmt w:val="bullet"/>
      <w:suff w:val="tab"/>
      <w:lvlText w:val=""/>
      <w:lvlJc w:val="left"/>
      <w:pPr>
        <w:ind w:hanging="360" w:left="4680"/>
        <w:tabs>
          <w:tab w:val="left" w:pos="4680" w:leader="none"/>
        </w:tabs>
      </w:pPr>
      <w:rPr>
        <w:rFonts w:ascii="Wingdings" w:hAnsi="Wingdings"/>
      </w:rPr>
    </w:lvl>
    <w:lvl w:ilvl="6" w:tplc="53BEE917">
      <w:start w:val="1"/>
      <w:numFmt w:val="bullet"/>
      <w:suff w:val="tab"/>
      <w:lvlText w:val=""/>
      <w:lvlJc w:val="left"/>
      <w:pPr>
        <w:ind w:hanging="360" w:left="5400"/>
        <w:tabs>
          <w:tab w:val="left" w:pos="5400" w:leader="none"/>
        </w:tabs>
      </w:pPr>
      <w:rPr>
        <w:rFonts w:ascii="Symbol" w:hAnsi="Symbol"/>
      </w:rPr>
    </w:lvl>
    <w:lvl w:ilvl="7" w:tplc="7B24122B">
      <w:start w:val="1"/>
      <w:numFmt w:val="bullet"/>
      <w:suff w:val="tab"/>
      <w:lvlText w:val="o"/>
      <w:lvlJc w:val="left"/>
      <w:pPr>
        <w:ind w:hanging="360" w:left="6120"/>
        <w:tabs>
          <w:tab w:val="left" w:pos="6120" w:leader="none"/>
        </w:tabs>
      </w:pPr>
      <w:rPr>
        <w:rFonts w:ascii="Courier New" w:hAnsi="Courier New"/>
      </w:rPr>
    </w:lvl>
    <w:lvl w:ilvl="8" w:tplc="09AC34F9">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exto independiente"/>
    <w:basedOn w:val="P0"/>
    <w:next w:val="P10"/>
    <w:pPr>
      <w:jc w:val="both"/>
    </w:pPr>
    <w:rPr>
      <w:rFonts w:ascii="Courier New" w:hAnsi="Courier New"/>
    </w:rPr>
  </w:style>
  <w:style w:type="paragraph" w:styleId="P11">
    <w:name w:val="Sangría de t. independiente"/>
    <w:basedOn w:val="P0"/>
    <w:next w:val="P11"/>
    <w:pPr>
      <w:ind w:left="748"/>
      <w:jc w:val="both"/>
    </w:pPr>
    <w:rPr>
      <w:rFonts w:ascii="Courier New" w:hAnsi="Courier New"/>
    </w:rPr>
  </w:style>
  <w:style w:type="paragraph" w:styleId="P12">
    <w:name w:val="Sangría 2 de t. independiente"/>
    <w:basedOn w:val="P0"/>
    <w:next w:val="P12"/>
    <w:pPr>
      <w:ind w:hanging="748" w:left="748"/>
      <w:jc w:val="both"/>
    </w:pPr>
    <w:rPr>
      <w:rFonts w:ascii="Courier New" w:hAnsi="Courier New"/>
    </w:rPr>
  </w:style>
  <w:style w:type="paragraph" w:styleId="P13">
    <w:name w:val="Sangría 3 de t. independiente"/>
    <w:basedOn w:val="P0"/>
    <w:next w:val="P13"/>
    <w:pPr>
      <w:ind w:left="748"/>
      <w:jc w:val="both"/>
    </w:pPr>
    <w:rPr>
      <w:rFonts w:ascii="Courier New" w:hAnsi="Courier New"/>
      <w:b w:val="1"/>
    </w:rPr>
  </w:style>
  <w:style w:type="paragraph" w:styleId="P14">
    <w:name w:val="Encabezado"/>
    <w:basedOn w:val="P0"/>
    <w:next w:val="P14"/>
    <w:pPr>
      <w:tabs>
        <w:tab w:val="center" w:pos="4252" w:leader="none"/>
        <w:tab w:val="right" w:pos="8504" w:leader="none"/>
      </w:tabs>
    </w:pPr>
    <w:rPr/>
  </w:style>
  <w:style w:type="paragraph" w:styleId="P15">
    <w:name w:val="Texto independiente 2"/>
    <w:basedOn w:val="P0"/>
    <w:next w:val="P15"/>
    <w:pPr/>
    <w:rPr>
      <w:rFonts w:ascii="Arial" w:hAnsi="Arial"/>
      <w:b w:val="1"/>
      <w:sz w:val="28"/>
    </w:rPr>
  </w:style>
  <w:style w:type="paragraph" w:styleId="P16">
    <w:name w:val="Texto independiente 3"/>
    <w:basedOn w:val="P0"/>
    <w:next w:val="P16"/>
    <w:pPr>
      <w:jc w:val="both"/>
    </w:pPr>
    <w:rPr>
      <w:rFonts w:ascii="Courier New" w:hAnsi="Courier New"/>
      <w:b w:val="1"/>
    </w:rPr>
  </w:style>
  <w:style w:type="paragraph" w:styleId="P17">
    <w:name w:val="Título"/>
    <w:basedOn w:val="P0"/>
    <w:next w:val="P17"/>
    <w:pPr>
      <w:jc w:val="center"/>
    </w:pPr>
    <w:rPr>
      <w:rFonts w:ascii="Courier New" w:hAnsi="Courier New"/>
      <w:b w:val="1"/>
      <w:u w:val="single"/>
    </w:rPr>
  </w:style>
  <w:style w:type="paragraph" w:styleId="P18">
    <w:name w:val="Normal (Web)"/>
    <w:basedOn w:val="P0"/>
    <w:next w:val="P18"/>
    <w:pPr>
      <w:spacing w:before="100" w:after="100"/>
    </w:pPr>
    <w:rPr/>
  </w:style>
  <w:style w:type="paragraph" w:styleId="P19">
    <w:name w:val="Texto sin formato"/>
    <w:basedOn w:val="P0"/>
    <w:next w:val="P19"/>
    <w:pPr/>
    <w:rPr>
      <w:rFonts w:ascii="Courier New" w:hAnsi="Courier New"/>
      <w:sz w:val="20"/>
    </w:rPr>
  </w:style>
  <w:style w:type="paragraph" w:styleId="P20">
    <w:name w:val="Remite de sobre"/>
    <w:basedOn w:val="P0"/>
    <w:next w:val="P20"/>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2009-09-03T00:47:00Z</dcterms:created>
  <cp:lastModifiedBy>Ethan Puglia</cp:lastModifiedBy>
  <cp:lastPrinted>2009-09-03T23:32:00Z</cp:lastPrinted>
  <dcterms:modified xsi:type="dcterms:W3CDTF">2019-03-28T17:34:13Z</dcterms:modified>
  <cp:revision>8</cp:revision>
  <dc:title>PROYECTO DE ORDENANZA VIOLENCIA FAMILIAR</dc:title>
</cp:coreProperties>
</file>