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6E8A382E" Type="http://schemas.openxmlformats.org/officeDocument/2006/relationships/officeDocument" Target="/word/document.xml" /><Relationship Id="coreR6E8A382E"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Courier New" w:hAnsi="Courier New"/>
          <w:b w:val="1"/>
          <w:sz w:val="24"/>
        </w:rPr>
      </w:pPr>
    </w:p>
    <w:p>
      <w:pPr>
        <w:pStyle w:val="P16"/>
        <w:ind w:left="113"/>
        <w:jc w:val="center"/>
        <w:rPr>
          <w:rStyle w:val="C3"/>
          <w:rFonts w:ascii="Courier New" w:hAnsi="Courier New"/>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8473</w:t>
      </w:r>
    </w:p>
    <w:p/>
    <w:p>
      <w:pPr>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268/08, iniciado por Brandalise, Daniel Hugo (Pedido de Demolición) – Adjunto al 1610/08 (Previa) y adjunto al 379/09 (Reemplazo propuesta de fachada); y</w:t>
      </w:r>
    </w:p>
    <w:p>
      <w:pPr>
        <w:pStyle w:val="P2"/>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Que en el mismo se solicita la autorización para construir un local comercial sin espacio reservado para estacionamiento para clientes, en el inmueble Designación Catastral 1-1-83-13, ubicado en calle Urquiza S/N, entre Mateo Beres y Belgrano, de Barrio Sur de nuestra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 46 el Área de Obras Privadas informa que de acuerdo a la Ordenanza Nº 1294, en su Art. 230, establece para estos casos que se debe contemplar un lugar para estacionamiento por cada 100 m² de superficie cubierta, hecho que este caso no se contempla;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por ser una edificación de imagen urbana sobre la línea municipal, característico de la calle Urquiza en esa cuadra, se le exigió respetar tal situación en la fachada, hecho que no permitió el retiro para generar estacionamiento en frente del comercio;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generar un ingreso y egreso vehicular en un lateral, más allá de quitar una superficie importante al local comercial, produciría seguramente una situación de conflicto en el importante flujo de tránsito vehicular de la zona;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en el resto de los locales comerciales de la cuadra de las mismas características, en su momento, tampoco se ha exigido el cumplimiento de la norma en este sentido;</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analizado el Expediente de referencia por la Comisión de Obras y Servicios Públicos, la misma emite despacho favorable, aprobado por Mayoría en Sesión Ordinaria del día 09 de Septiembre de 2009;</w:t>
      </w:r>
    </w:p>
    <w:p>
      <w:pPr>
        <w:ind w:left="113"/>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p>
    <w:p>
      <w:pPr>
        <w:ind w:left="113"/>
        <w:jc w:val="both"/>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left="113"/>
        <w:jc w:val="both"/>
        <w:rPr>
          <w:rStyle w:val="C3"/>
          <w:rFonts w:ascii="Courier New" w:hAnsi="Courier New"/>
        </w:rPr>
      </w:pPr>
    </w:p>
    <w:p>
      <w:pPr>
        <w:ind w:left="113"/>
        <w:jc w:val="both"/>
        <w:rPr>
          <w:rStyle w:val="C3"/>
          <w:rFonts w:ascii="Courier New" w:hAnsi="Courier New"/>
        </w:rPr>
      </w:pPr>
    </w:p>
    <w:p>
      <w:pPr>
        <w:ind w:left="113"/>
        <w:jc w:val="right"/>
        <w:rPr>
          <w:rStyle w:val="C3"/>
          <w:rFonts w:ascii="Courier New" w:hAnsi="Courier New"/>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AUTORIZA</w:t>
      </w:r>
      <w:r>
        <w:rPr>
          <w:rStyle w:val="C3"/>
          <w:rFonts w:ascii="Courier New" w:hAnsi="Courier New"/>
          <w:b w:val="1"/>
        </w:rPr>
        <w:t>SE</w:t>
      </w:r>
      <w:r>
        <w:rPr>
          <w:rStyle w:val="C3"/>
          <w:rFonts w:ascii="Courier New" w:hAnsi="Courier New"/>
        </w:rPr>
        <w:t xml:space="preserve"> al Sr. Brandalise, Daniel Hugo, DNI: 16.855.998, a realizar la construcción de un establecimiento comercial en el Inmueble Designación Catastral 1-1-83-13, ubicado en calle Urquiza S/N, entre Mateo Beres y Belgrano de Barrio Sur de nuestra Ciudad, sin el cumplimiento del Art. 230, inc. “c” de la Ordenanza Nº 1294, Código de Edificación y Urbanización de Alta gracia.-</w:t>
      </w:r>
    </w:p>
    <w:p>
      <w:pPr>
        <w:ind w:hanging="561" w:left="561"/>
        <w:jc w:val="both"/>
        <w:rPr>
          <w:rStyle w:val="C3"/>
          <w:rFonts w:ascii="Courier New" w:hAnsi="Courier New"/>
          <w:b w:val="1"/>
          <w:u w:val="single"/>
        </w:rPr>
      </w:pPr>
    </w:p>
    <w:p>
      <w:pPr>
        <w:ind w:hanging="561" w:left="561"/>
        <w:jc w:val="both"/>
        <w:rPr>
          <w:rStyle w:val="C3"/>
          <w:rFonts w:ascii="Courier New" w:hAnsi="Courier New"/>
          <w:b w:val="1"/>
        </w:rPr>
      </w:pPr>
      <w:r>
        <w:rPr>
          <w:rStyle w:val="C3"/>
          <w:rFonts w:ascii="Courier New" w:hAnsi="Courier New"/>
          <w:b w:val="1"/>
          <w:u w:val="single"/>
        </w:rPr>
        <w:t>Art.2</w:t>
      </w:r>
      <w:r>
        <w:rPr>
          <w:rStyle w:val="C3"/>
          <w:rFonts w:ascii="Courier New" w:hAnsi="Courier New"/>
          <w:b w:val="1"/>
        </w:rPr>
        <w:t xml:space="preserve">: PROTOCOLICESE, </w:t>
      </w:r>
      <w:r>
        <w:rPr>
          <w:rStyle w:val="C3"/>
          <w:rFonts w:ascii="Courier New" w:hAnsi="Courier New"/>
        </w:rPr>
        <w:t>comuníquese, publíquese en el Boletín Oficial de la ciudad de Alta Gracia, transcríbase al Libro de Ordenanzas y archívese</w:t>
      </w:r>
      <w:r>
        <w:rPr>
          <w:rStyle w:val="C3"/>
          <w:rFonts w:ascii="Courier New" w:hAnsi="Courier New"/>
          <w:b w:val="1"/>
        </w:rPr>
        <w:t>.-</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7"/>
      </w:pPr>
      <w:r>
        <w:t>DADA EN LA SALA DE SESIONES DEL HONORABLE CONCEJO DELIBERANTE A LOS NUEVE DÍAS DEL MES DE SEPTIEMBRE DEL AÑO DOS MIL NUEVE.-</w:t>
      </w:r>
    </w:p>
    <w:p>
      <w:pPr>
        <w:ind w:hanging="748"/>
        <w:jc w:val="both"/>
        <w:rPr>
          <w:rStyle w:val="C3"/>
          <w:rFonts w:ascii="Courier New" w:hAnsi="Courier New"/>
        </w:rPr>
      </w:pPr>
    </w:p>
    <w:p>
      <w:pPr>
        <w:ind w:hanging="748"/>
        <w:jc w:val="both"/>
        <w:rPr>
          <w:rStyle w:val="C3"/>
          <w:rFonts w:ascii="Courier New" w:hAnsi="Courier New"/>
        </w:rPr>
      </w:pPr>
    </w:p>
    <w:p>
      <w:pPr>
        <w:ind w:hanging="748"/>
        <w:jc w:val="both"/>
        <w:rPr>
          <w:rStyle w:val="C3"/>
          <w:rFonts w:ascii="Courier New" w:hAnsi="Courier New"/>
        </w:rPr>
      </w:pPr>
    </w:p>
    <w:sectPr>
      <w:type w:val="nextPage"/>
      <w:pgSz w:w="11906" w:h="16838" w:code="0"/>
      <w:pgMar w:left="1701" w:right="1701" w:top="1418" w:bottom="1418" w:header="708" w:footer="708" w:gutter="0"/>
    </w:sectPr>
  </w:body>
</w:document>
</file>

<file path=word/numbering.xml><?xml version="1.0" encoding="utf-8"?>
<w:numbering xmlns:w="http://schemas.openxmlformats.org/wordprocessingml/2006/main">
  <w:abstractNum w:abstractNumId="0">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6">
    <w:nsid w:val="4C661CEC"/>
    <w:multiLevelType w:val="hybridMultilevel"/>
    <w:lvl w:ilvl="0" w:tplc="2A600FCE">
      <w:start w:val="2"/>
      <w:numFmt w:val="bullet"/>
      <w:suff w:val="tab"/>
      <w:lvlText w:val="-"/>
      <w:lvlJc w:val="left"/>
      <w:pPr>
        <w:ind w:hanging="360" w:left="1080"/>
        <w:tabs>
          <w:tab w:val="left" w:pos="1080" w:leader="none"/>
        </w:tabs>
      </w:pPr>
      <w:rPr>
        <w:rFonts w:ascii="Courier New" w:hAnsi="Courier New"/>
      </w:rPr>
    </w:lvl>
    <w:lvl w:ilvl="1" w:tplc="61BC8B95">
      <w:start w:val="1"/>
      <w:numFmt w:val="bullet"/>
      <w:suff w:val="tab"/>
      <w:lvlText w:val="o"/>
      <w:lvlJc w:val="left"/>
      <w:pPr>
        <w:ind w:hanging="360" w:left="1800"/>
        <w:tabs>
          <w:tab w:val="left" w:pos="1800" w:leader="none"/>
        </w:tabs>
      </w:pPr>
      <w:rPr>
        <w:rFonts w:ascii="Courier New" w:hAnsi="Courier New"/>
      </w:rPr>
    </w:lvl>
    <w:lvl w:ilvl="2" w:tplc="4FF17A96">
      <w:start w:val="1"/>
      <w:numFmt w:val="bullet"/>
      <w:suff w:val="tab"/>
      <w:lvlText w:val=""/>
      <w:lvlJc w:val="left"/>
      <w:pPr>
        <w:ind w:hanging="360" w:left="2520"/>
        <w:tabs>
          <w:tab w:val="left" w:pos="2520" w:leader="none"/>
        </w:tabs>
      </w:pPr>
      <w:rPr>
        <w:rFonts w:ascii="Wingdings" w:hAnsi="Wingdings"/>
      </w:rPr>
    </w:lvl>
    <w:lvl w:ilvl="3" w:tplc="30D3A685">
      <w:start w:val="1"/>
      <w:numFmt w:val="bullet"/>
      <w:suff w:val="tab"/>
      <w:lvlText w:val=""/>
      <w:lvlJc w:val="left"/>
      <w:pPr>
        <w:ind w:hanging="360" w:left="3240"/>
        <w:tabs>
          <w:tab w:val="left" w:pos="3240" w:leader="none"/>
        </w:tabs>
      </w:pPr>
      <w:rPr>
        <w:rFonts w:ascii="Symbol" w:hAnsi="Symbol"/>
      </w:rPr>
    </w:lvl>
    <w:lvl w:ilvl="4" w:tplc="7AD3E30E">
      <w:start w:val="1"/>
      <w:numFmt w:val="bullet"/>
      <w:suff w:val="tab"/>
      <w:lvlText w:val="o"/>
      <w:lvlJc w:val="left"/>
      <w:pPr>
        <w:ind w:hanging="360" w:left="3960"/>
        <w:tabs>
          <w:tab w:val="left" w:pos="3960" w:leader="none"/>
        </w:tabs>
      </w:pPr>
      <w:rPr>
        <w:rFonts w:ascii="Courier New" w:hAnsi="Courier New"/>
      </w:rPr>
    </w:lvl>
    <w:lvl w:ilvl="5" w:tplc="2CFA52FF">
      <w:start w:val="1"/>
      <w:numFmt w:val="bullet"/>
      <w:suff w:val="tab"/>
      <w:lvlText w:val=""/>
      <w:lvlJc w:val="left"/>
      <w:pPr>
        <w:ind w:hanging="360" w:left="4680"/>
        <w:tabs>
          <w:tab w:val="left" w:pos="4680" w:leader="none"/>
        </w:tabs>
      </w:pPr>
      <w:rPr>
        <w:rFonts w:ascii="Wingdings" w:hAnsi="Wingdings"/>
      </w:rPr>
    </w:lvl>
    <w:lvl w:ilvl="6" w:tplc="58F01746">
      <w:start w:val="1"/>
      <w:numFmt w:val="bullet"/>
      <w:suff w:val="tab"/>
      <w:lvlText w:val=""/>
      <w:lvlJc w:val="left"/>
      <w:pPr>
        <w:ind w:hanging="360" w:left="5400"/>
        <w:tabs>
          <w:tab w:val="left" w:pos="5400" w:leader="none"/>
        </w:tabs>
      </w:pPr>
      <w:rPr>
        <w:rFonts w:ascii="Symbol" w:hAnsi="Symbol"/>
      </w:rPr>
    </w:lvl>
    <w:lvl w:ilvl="7" w:tplc="38C24D8D">
      <w:start w:val="1"/>
      <w:numFmt w:val="bullet"/>
      <w:suff w:val="tab"/>
      <w:lvlText w:val="o"/>
      <w:lvlJc w:val="left"/>
      <w:pPr>
        <w:ind w:hanging="360" w:left="6120"/>
        <w:tabs>
          <w:tab w:val="left" w:pos="6120" w:leader="none"/>
        </w:tabs>
      </w:pPr>
      <w:rPr>
        <w:rFonts w:ascii="Courier New" w:hAnsi="Courier New"/>
      </w:rPr>
    </w:lvl>
    <w:lvl w:ilvl="8" w:tplc="14E97BBE">
      <w:start w:val="1"/>
      <w:numFmt w:val="bullet"/>
      <w:suff w:val="tab"/>
      <w:lvlText w:val=""/>
      <w:lvlJc w:val="left"/>
      <w:pPr>
        <w:ind w:hanging="360" w:left="6840"/>
        <w:tabs>
          <w:tab w:val="left" w:pos="6840" w:leader="none"/>
        </w:tabs>
      </w:pPr>
      <w:rPr>
        <w:rFonts w:ascii="Wingdings" w:hAnsi="Wingdings"/>
      </w:rPr>
    </w:lvl>
  </w:abstractNum>
  <w:abstractNum w:abstractNumId="7">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9">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1">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3"/>
  </w:num>
  <w:num w:numId="2">
    <w:abstractNumId w:val="9"/>
  </w:num>
  <w:num w:numId="3">
    <w:abstractNumId w:val="1"/>
  </w:num>
  <w:num w:numId="4">
    <w:abstractNumId w:val="2"/>
  </w:num>
  <w:num w:numId="5">
    <w:abstractNumId w:val="11"/>
  </w:num>
  <w:num w:numId="6">
    <w:abstractNumId w:val="12"/>
  </w:num>
  <w:num w:numId="7">
    <w:abstractNumId w:val="8"/>
  </w:num>
  <w:num w:numId="8">
    <w:abstractNumId w:val="6"/>
  </w:num>
  <w:num w:numId="9">
    <w:abstractNumId w:val="10"/>
  </w:num>
  <w:num w:numId="10">
    <w:abstractNumId w:val="13"/>
  </w:num>
  <w:num w:numId="11">
    <w:abstractNumId w:val="0"/>
  </w:num>
  <w:num w:numId="12">
    <w:abstractNumId w:val="5"/>
  </w:num>
  <w:num w:numId="13">
    <w:abstractNumId w:val="4"/>
  </w:num>
  <w:num w:numId="14">
    <w:abstractNumId w:val="7"/>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4"/>
    </w:rPr>
  </w:style>
  <w:style w:type="paragraph" w:styleId="P1">
    <w:name w:val="Estilo"/>
    <w:next w:val="P1"/>
    <w:pPr>
      <w:widowControl w:val="0"/>
    </w:pPr>
    <w:rPr/>
  </w:style>
  <w:style w:type="paragraph" w:styleId="P2">
    <w:name w:val="Título 1"/>
    <w:basedOn w:val="P0"/>
    <w:next w:val="P0"/>
    <w:pPr>
      <w:keepNext w:val="1"/>
      <w:jc w:val="center"/>
      <w:outlineLvl w:val="0"/>
    </w:pPr>
    <w:rPr>
      <w:rFonts w:ascii="Courier New" w:hAnsi="Courier New"/>
      <w:b w:val="1"/>
    </w:rPr>
  </w:style>
  <w:style w:type="paragraph" w:styleId="P3">
    <w:name w:val="Título 2"/>
    <w:basedOn w:val="P0"/>
    <w:next w:val="P0"/>
    <w:pPr>
      <w:keepNext w:val="1"/>
      <w:jc w:val="center"/>
      <w:outlineLvl w:val="1"/>
    </w:pPr>
    <w:rPr>
      <w:b w:val="1"/>
    </w:rPr>
  </w:style>
  <w:style w:type="paragraph" w:styleId="P4">
    <w:name w:val="Título 3"/>
    <w:basedOn w:val="P0"/>
    <w:next w:val="P0"/>
    <w:pPr>
      <w:keepNext w:val="1"/>
      <w:jc w:val="center"/>
      <w:outlineLvl w:val="2"/>
    </w:pPr>
    <w:rPr>
      <w:rFonts w:ascii="Courier New" w:hAnsi="Courier New"/>
      <w:b w:val="1"/>
      <w:u w:val="single"/>
    </w:rPr>
  </w:style>
  <w:style w:type="paragraph" w:styleId="P5">
    <w:name w:val="Título 4"/>
    <w:basedOn w:val="P0"/>
    <w:next w:val="P0"/>
    <w:pPr>
      <w:keepNext w:val="1"/>
      <w:jc w:val="center"/>
      <w:outlineLvl w:val="3"/>
    </w:pPr>
    <w:rPr>
      <w:rFonts w:ascii="Courier New" w:hAnsi="Courier New"/>
      <w:sz w:val="144"/>
    </w:rPr>
  </w:style>
  <w:style w:type="paragraph" w:styleId="P6">
    <w:name w:val="Título 5"/>
    <w:basedOn w:val="P0"/>
    <w:next w:val="P0"/>
    <w:pPr>
      <w:keepNext w:val="1"/>
      <w:jc w:val="both"/>
      <w:outlineLvl w:val="4"/>
    </w:pPr>
    <w:rPr>
      <w:rFonts w:ascii="Courier New" w:hAnsi="Courier New"/>
      <w:u w:val="single"/>
    </w:rPr>
  </w:style>
  <w:style w:type="paragraph" w:styleId="P7">
    <w:name w:val="Título 6"/>
    <w:basedOn w:val="P0"/>
    <w:next w:val="P0"/>
    <w:pPr>
      <w:keepNext w:val="1"/>
      <w:jc w:val="center"/>
      <w:outlineLvl w:val="5"/>
    </w:pPr>
    <w:rPr>
      <w:rFonts w:ascii="Courier New" w:hAnsi="Courier New"/>
      <w:b w:val="1"/>
      <w:sz w:val="144"/>
    </w:rPr>
  </w:style>
  <w:style w:type="paragraph" w:styleId="P8">
    <w:name w:val="Título 7"/>
    <w:basedOn w:val="P0"/>
    <w:next w:val="P0"/>
    <w:pPr>
      <w:keepNext w:val="1"/>
      <w:ind w:left="561"/>
      <w:jc w:val="center"/>
      <w:outlineLvl w:val="6"/>
    </w:pPr>
    <w:rPr>
      <w:rFonts w:ascii="Courier New" w:hAnsi="Courier New"/>
      <w:b w:val="1"/>
    </w:rPr>
  </w:style>
  <w:style w:type="paragraph" w:styleId="P9">
    <w:name w:val="Título 8"/>
    <w:basedOn w:val="P0"/>
    <w:next w:val="P0"/>
    <w:pPr>
      <w:keepNext w:val="1"/>
      <w:jc w:val="center"/>
      <w:outlineLvl w:val="7"/>
    </w:pPr>
    <w:rPr>
      <w:rFonts w:ascii="Arial" w:hAnsi="Arial"/>
      <w:sz w:val="22"/>
      <w:u w:val="single"/>
    </w:rPr>
  </w:style>
  <w:style w:type="paragraph" w:styleId="P10">
    <w:name w:val="Título 9"/>
    <w:basedOn w:val="P0"/>
    <w:next w:val="P0"/>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 independiente"/>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2009-09-11T02:20:00Z</dcterms:created>
  <cp:lastModifiedBy>Ethan Puglia</cp:lastModifiedBy>
  <cp:lastPrinted>2009-09-11T02:01:00Z</cp:lastPrinted>
  <dcterms:modified xsi:type="dcterms:W3CDTF">2019-03-28T17:34:14Z</dcterms:modified>
  <cp:revision>6</cp:revision>
  <dc:title>PROYECTO DE ORDENANZA VIOLENCIA FAMILIAR</dc:title>
</cp:coreProperties>
</file>