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D1A5566" Type="http://schemas.openxmlformats.org/officeDocument/2006/relationships/officeDocument" Target="/word/document.xml" /><Relationship Id="coreR1D1A556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</w:pPr>
      <w:r>
        <w:t>ORDENANZA N° 8474</w:t>
      </w:r>
    </w:p>
    <w:p/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necesidad de organizar actos administrativos preparativos en los procedimientos tendientes a otorgar Habilitaciones Comerciales; y</w:t>
      </w:r>
    </w:p>
    <w:p>
      <w:pPr>
        <w:pStyle w:val="P2"/>
        <w:rPr>
          <w:rStyle w:val="C3"/>
        </w:rPr>
      </w:pPr>
    </w:p>
    <w:p>
      <w:pPr>
        <w:pStyle w:val="P2"/>
        <w:rPr>
          <w:rStyle w:val="C3"/>
        </w:rPr>
      </w:pPr>
    </w:p>
    <w:p>
      <w:pPr>
        <w:pStyle w:val="P2"/>
        <w:rPr>
          <w:rStyle w:val="C3"/>
        </w:rPr>
      </w:pPr>
    </w:p>
    <w:p>
      <w:pPr>
        <w:pStyle w:val="P2"/>
      </w:pPr>
      <w:r>
        <w:t>C O N S I D E R A N D O</w:t>
      </w:r>
    </w:p>
    <w:p/>
    <w:p/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numerosos vecinos de nuestra ciudad, en la necesidad de ubicarse laboralmente dentro del mercado comercial, iniciaron su actividad no cumplimentando todos los actos administrativos preparatorios para llegar a su habilitación comercial;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realidad social, comercial, laboral marca circunstancias de hecho que el Estado Municipal debe contemplar, como grandes erogaciones que los aspirantes a una habilitación realizan en pos de llegar a objetivos óptimos de mercado, como los turísticos, los gastronómicos, industriales, etc.;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práctica administrativa, en aras de la celeridad, eficacia y eficiencia debe contemplar una figura provisoria para el acto administrativo definitivo (habilitación) a los efectos de coadyuvar a nuestros comerciantes vecinos de nuestra ciudad pujante, pero resguardando y haciendo resguardar los derechos de los consumidores de bienes y servicios a su seguridad, salubridad, condiciones higiénicas del local comercial y seguridad ambiental;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...///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aquellos comercios y/o establecimientos regidos por nuestro Código de Espectáculos Públicos quedan afuera de esta figura de habilitación provisoria por su especialidad;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Proyecto de Ordenanza por el Concejo en Comisión, el mismo emite despacho favorable, aprobado por unanimidad en Sesión Ordinaria del día 16 de Septiembre de 2009;</w:t>
      </w:r>
    </w:p>
    <w:p>
      <w:pPr>
        <w:ind w:left="113"/>
        <w:jc w:val="both"/>
        <w:rPr>
          <w:rStyle w:val="C3"/>
          <w:rFonts w:ascii="Courier New" w:hAnsi="Courier New"/>
        </w:rPr>
      </w:pPr>
    </w:p>
    <w:p>
      <w:pPr>
        <w:ind w:left="113"/>
        <w:jc w:val="both"/>
        <w:rPr>
          <w:rStyle w:val="C3"/>
          <w:rFonts w:ascii="Courier New" w:hAnsi="Courier New"/>
        </w:rPr>
      </w:pPr>
    </w:p>
    <w:p>
      <w:pPr>
        <w:ind w:left="113"/>
        <w:jc w:val="both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ind w:left="113"/>
        <w:jc w:val="both"/>
        <w:rPr>
          <w:rStyle w:val="C3"/>
          <w:rFonts w:ascii="Courier New" w:hAnsi="Courier New"/>
        </w:rPr>
      </w:pPr>
    </w:p>
    <w:p>
      <w:pPr>
        <w:ind w:left="113"/>
        <w:jc w:val="both"/>
        <w:rPr>
          <w:rStyle w:val="C3"/>
          <w:rFonts w:ascii="Courier New" w:hAnsi="Courier New"/>
        </w:rPr>
      </w:pPr>
    </w:p>
    <w:p>
      <w:pPr>
        <w:ind w:left="113"/>
        <w:jc w:val="right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 AUTORIZAR</w:t>
      </w:r>
      <w:r>
        <w:rPr>
          <w:rStyle w:val="C3"/>
          <w:rFonts w:ascii="Courier New" w:hAnsi="Courier New"/>
        </w:rPr>
        <w:t xml:space="preserve"> al Departamento Ejecutivo a la inscripción y habilitación provisoria a todo comercio y/o establecimiento comercial que reúna las condiciones de seguridad, salubridad, higiene y seguridad ambiental, por el término de CIENTO OCHENTA (180) días.-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LA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inobservancia a la presentación de los restantes requisitos, que por su especialidad se le hayan solicitado en el plazo acordado, hará caducar de pleno derecho la inscripción y habilitación.-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EXCL</w:t>
      </w:r>
      <w:r>
        <w:rPr>
          <w:rStyle w:val="C3"/>
          <w:rFonts w:ascii="Courier New" w:hAnsi="Courier New"/>
          <w:b w:val="1"/>
        </w:rPr>
        <w:t>Ú</w:t>
      </w:r>
      <w:r>
        <w:rPr>
          <w:rStyle w:val="C3"/>
          <w:rFonts w:ascii="Courier New" w:hAnsi="Courier New"/>
          <w:b w:val="1"/>
        </w:rPr>
        <w:t>YASE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de esta figura provisoria los comercios y/o establecimientos que por su especialidad son regidos por la Ordenanza N° 7164.-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Art.4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LA </w:t>
      </w:r>
      <w:r>
        <w:rPr>
          <w:rStyle w:val="C3"/>
          <w:rFonts w:ascii="Courier New" w:hAnsi="Courier New"/>
        </w:rPr>
        <w:t>presente Ordenanza tendrá vigencia a partir de la fecha de su promulgación conforme a lo previsto en el Art.24° de nuestra Carta Orgánica Municipal.-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 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113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...///3.-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5</w:t>
      </w:r>
      <w:r>
        <w:rPr>
          <w:rStyle w:val="C3"/>
          <w:rFonts w:ascii="Courier New" w:hAnsi="Courier New"/>
          <w:b w:val="1"/>
        </w:rPr>
        <w:t xml:space="preserve">: PROTOCOLICESE, </w:t>
      </w:r>
      <w:r>
        <w:rPr>
          <w:rStyle w:val="C3"/>
          <w:rFonts w:ascii="Courier New" w:hAnsi="Courier New"/>
        </w:rPr>
        <w:t>comuníquese, publíquese en el Boletín Oficial de la ciudad de Alta Gracia, transcríbase al Libro de Ordenanzas y archívese</w:t>
      </w:r>
      <w:r>
        <w:rPr>
          <w:rStyle w:val="C3"/>
          <w:rFonts w:ascii="Courier New" w:hAnsi="Courier New"/>
          <w:b w:val="1"/>
        </w:rPr>
        <w:t>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7"/>
      </w:pPr>
      <w:r>
        <w:t>DADA EN LA SALA DE SESIONES DEL HONORABLE CONCEJO DELIBERANTE A LOS DIECISÉIS DÍAS DEL MES DE SEPTIEMBRE DEL AÑO DOS MIL NUEVE.-</w:t>
      </w: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4933849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448312F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4C0A51DF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6">
    <w:nsid w:val="4C661CEC"/>
    <w:multiLevelType w:val="hybridMultilevel"/>
    <w:lvl w:ilvl="0" w:tplc="7067764C">
      <w:start w:val="2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6FF40EDB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2D352986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028C5A21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7BA9DE81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460D5FA1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53C79466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3E32DE78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73E01FCD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7">
    <w:nsid w:val="4EEE4406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4F8F54B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9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0">
    <w:nsid w:val="643C11C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1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2">
    <w:nsid w:val="6FCB7CE4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3">
    <w:nsid w:val="74E828BD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num w:numId="1">
    <w:abstractNumId w:val="3"/>
  </w:num>
  <w:num w:numId="2">
    <w:abstractNumId w:val="9"/>
  </w:num>
  <w:num w:numId="3">
    <w:abstractNumId w:val="1"/>
  </w:num>
  <w:num w:numId="4">
    <w:abstractNumId w:val="2"/>
  </w:num>
  <w:num w:numId="5">
    <w:abstractNumId w:val="11"/>
  </w:num>
  <w:num w:numId="6">
    <w:abstractNumId w:val="12"/>
  </w:num>
  <w:num w:numId="7">
    <w:abstractNumId w:val="8"/>
  </w:num>
  <w:num w:numId="8">
    <w:abstractNumId w:val="6"/>
  </w:num>
  <w:num w:numId="9">
    <w:abstractNumId w:val="10"/>
  </w:num>
  <w:num w:numId="10">
    <w:abstractNumId w:val="13"/>
  </w:num>
  <w:num w:numId="11">
    <w:abstractNumId w:val="0"/>
  </w:num>
  <w:num w:numId="12">
    <w:abstractNumId w:val="5"/>
  </w:num>
  <w:num w:numId="13">
    <w:abstractNumId w:val="4"/>
  </w:num>
  <w:num w:numId="14">
    <w:abstractNumId w:val="7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pPr>
      <w:jc w:val="both"/>
    </w:pPr>
    <w:rPr>
      <w:rFonts w:ascii="Courier New" w:hAnsi="Courier New"/>
    </w:rPr>
  </w:style>
  <w:style w:type="paragraph" w:styleId="P12">
    <w:name w:val="Sangría de t. independiente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2009-09-21T23:27:00Z</dcterms:created>
  <cp:lastModifiedBy>Ethan Puglia</cp:lastModifiedBy>
  <cp:lastPrinted>2009-09-23T03:00:00Z</cp:lastPrinted>
  <dcterms:modified xsi:type="dcterms:W3CDTF">2019-03-28T17:34:14Z</dcterms:modified>
  <cp:revision>7</cp:revision>
  <dc:title>PROYECTO DE ORDENANZA VIOLENCIA FAMILIAR</dc:title>
</cp:coreProperties>
</file>