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E68E3D4" Type="http://schemas.openxmlformats.org/officeDocument/2006/relationships/officeDocument" Target="/word/document.xml" /><Relationship Id="coreR5E68E3D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Courier New" w:hAnsi="Courier New"/>
          <w:b w:val="1"/>
          <w:sz w:val="24"/>
        </w:rPr>
      </w:pPr>
    </w:p>
    <w:p>
      <w:pPr>
        <w:pStyle w:val="P16"/>
        <w:ind w:left="113"/>
        <w:jc w:val="center"/>
        <w:rPr>
          <w:rStyle w:val="C3"/>
          <w:rFonts w:ascii="Courier New" w:hAnsi="Courier New"/>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8480</w:t>
      </w:r>
    </w:p>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1500/08 adjunto al 722/09, iniciado por Ferreyra, Rodolfo José - Autorización para edificación por vía de excepción y Previa; y</w:t>
      </w:r>
    </w:p>
    <w:p>
      <w:pPr>
        <w:pStyle w:val="P2"/>
        <w:rPr>
          <w:rStyle w:val="C3"/>
        </w:rPr>
      </w:pPr>
    </w:p>
    <w:p>
      <w:pPr>
        <w:rPr>
          <w:rStyle w:val="C3"/>
        </w:rPr>
      </w:pPr>
    </w:p>
    <w:p>
      <w:pPr>
        <w:pStyle w:val="P2"/>
      </w:pPr>
      <w:r>
        <w:t>C O N S I D E R A N D O</w:t>
      </w:r>
    </w:p>
    <w:p>
      <w:pPr>
        <w:pStyle w:val="P2"/>
      </w:pPr>
    </w:p>
    <w:p/>
    <w:p>
      <w:pPr>
        <w:ind w:left="561"/>
        <w:jc w:val="both"/>
        <w:rPr>
          <w:rStyle w:val="C3"/>
          <w:rFonts w:ascii="Courier New" w:hAnsi="Courier New"/>
        </w:rPr>
      </w:pPr>
      <w:r>
        <w:rPr>
          <w:rStyle w:val="C3"/>
          <w:rFonts w:ascii="Courier New" w:hAnsi="Courier New"/>
        </w:rPr>
        <w:t>Que dicha solicitud fuera analizada en su momento (11 de marzo de 2009) por la Comisión de Obras y Servicios Públicos, enviando el presente al Departamento Ejecutivo a fin de que se informe la factibilidad de aprobación de la superficie declarada como “B” en previa que consta a Fs.13 refol.;</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Área de Obras Privadas a Fs.16 refol. informa que dicha superficie por estar construida (relevamiento) y no cumplir con la normativa vigente (Ordenanaza Nº 1294: Código de Edificación y Urbanización de Alta Gracia) debe abonar la sobretasa establecida en Ordenanza Tarifaria vigente Nº 8364, Art.24, inc. 4-b);</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respecto de la superficie proyectada también el Área de Obras Privadas informa que no respeta lo normado por el Art.242 “De la ocupación del suelo” en lo que hace al retiro de la Línea de Edificación de la Línea Municipal, de la Ordenanza Nº 1294, modificado por la Ordenanza Nº 1360 en su Art.68 bis para edificaciones en esquina;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Fs.6 Vta. el Área de Planeamiento opina como factible lo solicitado teniendo en cuenta que la dimensión mínima del lote es inferior a 10 m.;</w:t>
      </w:r>
    </w:p>
    <w:p>
      <w:pPr>
        <w:ind w:left="561"/>
        <w:jc w:val="both"/>
        <w:rPr>
          <w:rStyle w:val="C3"/>
          <w:rFonts w:ascii="Courier New" w:hAnsi="Courier New"/>
        </w:rPr>
      </w:pP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pStyle w:val="P12"/>
        <w:ind w:left="113"/>
        <w:rPr>
          <w:rStyle w:val="C3"/>
        </w:rPr>
      </w:pPr>
    </w:p>
    <w:p>
      <w:pPr>
        <w:pStyle w:val="P12"/>
        <w:ind w:left="113"/>
      </w:pPr>
      <w: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solicitud concreta del interesado se basa en la necesidad de espacio físico para albergar a su familia, ampliación del estar diurno que no puede realizarse de otra forma por las características del lote y la edificación existente;</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Expediente de referencia por la Comisión de Obras y Servicios Públicos, la misma emite despacho favorable, aprobado por unanimidad en Sesión Ordinaria del día 23 de Septiembre de 2009;</w:t>
      </w:r>
    </w:p>
    <w:p>
      <w:pPr>
        <w:pStyle w:val="P12"/>
        <w:ind w:left="561"/>
        <w:rPr>
          <w:rStyle w:val="C3"/>
        </w:rPr>
      </w:pPr>
    </w:p>
    <w:p>
      <w:pPr>
        <w:pStyle w:val="P12"/>
        <w:ind w:left="561"/>
        <w:rPr>
          <w:rStyle w:val="C3"/>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2"/>
        <w:ind w:left="561"/>
        <w:rPr>
          <w:rStyle w:val="C3"/>
          <w:b w:val="1"/>
        </w:rPr>
      </w:pPr>
    </w:p>
    <w:p>
      <w:pPr>
        <w:pStyle w:val="P12"/>
        <w:ind w:left="561"/>
        <w:rPr>
          <w:rStyle w:val="C3"/>
          <w:b w:val="1"/>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AUTORIZASE</w:t>
      </w:r>
      <w:r>
        <w:rPr>
          <w:rStyle w:val="C3"/>
          <w:rFonts w:ascii="Courier New" w:hAnsi="Courier New"/>
        </w:rPr>
        <w:t xml:space="preserve"> al Sr. Ferreyra, Rodolfo José, a realizar en el inmueble Designación Catastral 1-1-215-13, ubicado  en calle Pekín Nº 605 esq. Sevilla de Barrio Pellegrini de nuestra Ciudad,  una ampliación de su vivienda sin el cumplimiento del Art.242° “De la ocupación del suelo” en lo que hace al retiro de la Línea de Edificación de la Línea Municipal, de la Ordenanza Nº 1294, modificado por la Ordenanza Nº 1360 en su Art.68° bis para edificaciones en esquina;  </w:t>
      </w:r>
    </w:p>
    <w:p>
      <w:pPr>
        <w:ind w:left="561"/>
        <w:jc w:val="both"/>
        <w:rPr>
          <w:rStyle w:val="C3"/>
          <w:rFonts w:ascii="Courier New" w:hAnsi="Courier New"/>
        </w:rPr>
      </w:pPr>
    </w:p>
    <w:p>
      <w:pPr>
        <w:ind w:hanging="561" w:left="561"/>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7"/>
      </w:pPr>
      <w:r>
        <w:t>DADA EN LA SALA DE SESIONES DEL HONORABLE CONCEJO DELIBERANTE A LOS VEINTITRÉS DÍAS DEL MES DE SEPTIEMBRE DEL AÑO DOS MIL NUEVE.-</w:t>
      </w:r>
    </w:p>
    <w:p>
      <w:pPr>
        <w:ind w:hanging="748"/>
        <w:jc w:val="both"/>
        <w:rPr>
          <w:rStyle w:val="C3"/>
          <w:rFonts w:ascii="Courier New" w:hAnsi="Courier New"/>
        </w:rPr>
      </w:pPr>
    </w:p>
    <w:p>
      <w:pPr>
        <w:ind w:hanging="748"/>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661965E6">
      <w:start w:val="2"/>
      <w:numFmt w:val="bullet"/>
      <w:suff w:val="tab"/>
      <w:lvlText w:val="-"/>
      <w:lvlJc w:val="left"/>
      <w:pPr>
        <w:ind w:hanging="360" w:left="1080"/>
        <w:tabs>
          <w:tab w:val="left" w:pos="1080" w:leader="none"/>
        </w:tabs>
      </w:pPr>
      <w:rPr>
        <w:rFonts w:ascii="Courier New" w:hAnsi="Courier New"/>
      </w:rPr>
    </w:lvl>
    <w:lvl w:ilvl="1" w:tplc="44831457">
      <w:start w:val="1"/>
      <w:numFmt w:val="bullet"/>
      <w:suff w:val="tab"/>
      <w:lvlText w:val="o"/>
      <w:lvlJc w:val="left"/>
      <w:pPr>
        <w:ind w:hanging="360" w:left="1800"/>
        <w:tabs>
          <w:tab w:val="left" w:pos="1800" w:leader="none"/>
        </w:tabs>
      </w:pPr>
      <w:rPr>
        <w:rFonts w:ascii="Courier New" w:hAnsi="Courier New"/>
      </w:rPr>
    </w:lvl>
    <w:lvl w:ilvl="2" w:tplc="37F9779E">
      <w:start w:val="1"/>
      <w:numFmt w:val="bullet"/>
      <w:suff w:val="tab"/>
      <w:lvlText w:val=""/>
      <w:lvlJc w:val="left"/>
      <w:pPr>
        <w:ind w:hanging="360" w:left="2520"/>
        <w:tabs>
          <w:tab w:val="left" w:pos="2520" w:leader="none"/>
        </w:tabs>
      </w:pPr>
      <w:rPr>
        <w:rFonts w:ascii="Wingdings" w:hAnsi="Wingdings"/>
      </w:rPr>
    </w:lvl>
    <w:lvl w:ilvl="3" w:tplc="141E0AAB">
      <w:start w:val="1"/>
      <w:numFmt w:val="bullet"/>
      <w:suff w:val="tab"/>
      <w:lvlText w:val=""/>
      <w:lvlJc w:val="left"/>
      <w:pPr>
        <w:ind w:hanging="360" w:left="3240"/>
        <w:tabs>
          <w:tab w:val="left" w:pos="3240" w:leader="none"/>
        </w:tabs>
      </w:pPr>
      <w:rPr>
        <w:rFonts w:ascii="Symbol" w:hAnsi="Symbol"/>
      </w:rPr>
    </w:lvl>
    <w:lvl w:ilvl="4" w:tplc="1B8C6D20">
      <w:start w:val="1"/>
      <w:numFmt w:val="bullet"/>
      <w:suff w:val="tab"/>
      <w:lvlText w:val="o"/>
      <w:lvlJc w:val="left"/>
      <w:pPr>
        <w:ind w:hanging="360" w:left="3960"/>
        <w:tabs>
          <w:tab w:val="left" w:pos="3960" w:leader="none"/>
        </w:tabs>
      </w:pPr>
      <w:rPr>
        <w:rFonts w:ascii="Courier New" w:hAnsi="Courier New"/>
      </w:rPr>
    </w:lvl>
    <w:lvl w:ilvl="5" w:tplc="7C4FD980">
      <w:start w:val="1"/>
      <w:numFmt w:val="bullet"/>
      <w:suff w:val="tab"/>
      <w:lvlText w:val=""/>
      <w:lvlJc w:val="left"/>
      <w:pPr>
        <w:ind w:hanging="360" w:left="4680"/>
        <w:tabs>
          <w:tab w:val="left" w:pos="4680" w:leader="none"/>
        </w:tabs>
      </w:pPr>
      <w:rPr>
        <w:rFonts w:ascii="Wingdings" w:hAnsi="Wingdings"/>
      </w:rPr>
    </w:lvl>
    <w:lvl w:ilvl="6" w:tplc="19CA3D29">
      <w:start w:val="1"/>
      <w:numFmt w:val="bullet"/>
      <w:suff w:val="tab"/>
      <w:lvlText w:val=""/>
      <w:lvlJc w:val="left"/>
      <w:pPr>
        <w:ind w:hanging="360" w:left="5400"/>
        <w:tabs>
          <w:tab w:val="left" w:pos="5400" w:leader="none"/>
        </w:tabs>
      </w:pPr>
      <w:rPr>
        <w:rFonts w:ascii="Symbol" w:hAnsi="Symbol"/>
      </w:rPr>
    </w:lvl>
    <w:lvl w:ilvl="7" w:tplc="580C4D5A">
      <w:start w:val="1"/>
      <w:numFmt w:val="bullet"/>
      <w:suff w:val="tab"/>
      <w:lvlText w:val="o"/>
      <w:lvlJc w:val="left"/>
      <w:pPr>
        <w:ind w:hanging="360" w:left="6120"/>
        <w:tabs>
          <w:tab w:val="left" w:pos="6120" w:leader="none"/>
        </w:tabs>
      </w:pPr>
      <w:rPr>
        <w:rFonts w:ascii="Courier New" w:hAnsi="Courier New"/>
      </w:rPr>
    </w:lvl>
    <w:lvl w:ilvl="8" w:tplc="4C28192D">
      <w:start w:val="1"/>
      <w:numFmt w:val="bullet"/>
      <w:suff w:val="tab"/>
      <w:lvlText w:val=""/>
      <w:lvlJc w:val="left"/>
      <w:pPr>
        <w:ind w:hanging="360" w:left="6840"/>
        <w:tabs>
          <w:tab w:val="left" w:pos="6840" w:leader="none"/>
        </w:tabs>
      </w:pPr>
      <w:rPr>
        <w:rFonts w:ascii="Wingdings" w:hAnsi="Wingdings"/>
      </w:rPr>
    </w:lvl>
  </w:abstractNum>
  <w:abstractNum w:abstractNumId="7">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9"/>
  </w:num>
  <w:num w:numId="3">
    <w:abstractNumId w:val="1"/>
  </w:num>
  <w:num w:numId="4">
    <w:abstractNumId w:val="2"/>
  </w:num>
  <w:num w:numId="5">
    <w:abstractNumId w:val="11"/>
  </w:num>
  <w:num w:numId="6">
    <w:abstractNumId w:val="12"/>
  </w:num>
  <w:num w:numId="7">
    <w:abstractNumId w:val="8"/>
  </w:num>
  <w:num w:numId="8">
    <w:abstractNumId w:val="6"/>
  </w:num>
  <w:num w:numId="9">
    <w:abstractNumId w:val="10"/>
  </w:num>
  <w:num w:numId="10">
    <w:abstractNumId w:val="13"/>
  </w:num>
  <w:num w:numId="11">
    <w:abstractNumId w:val="0"/>
  </w:num>
  <w:num w:numId="12">
    <w:abstractNumId w:val="5"/>
  </w:num>
  <w:num w:numId="13">
    <w:abstractNumId w:val="4"/>
  </w:num>
  <w:num w:numId="14">
    <w:abstractNumId w:val="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2009-09-26T03:27:00Z</dcterms:created>
  <cp:lastModifiedBy>Ethan Puglia</cp:lastModifiedBy>
  <cp:lastPrinted>2009-09-26T02:49:00Z</cp:lastPrinted>
  <dcterms:modified xsi:type="dcterms:W3CDTF">2019-03-28T17:34:14Z</dcterms:modified>
  <cp:revision>5</cp:revision>
  <dc:title>PROYECTO DE ORDENANZA VIOLENCIA FAMILIAR</dc:title>
</cp:coreProperties>
</file>