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6F43642" Type="http://schemas.openxmlformats.org/officeDocument/2006/relationships/officeDocument" Target="/word/document.xml" /><Relationship Id="coreR56F4364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8481</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1482/08, iniciado por Hermida, Manuel Jorge (Padre e Hijo) - Cambio de Titularidad de Comercio; y</w:t>
      </w:r>
    </w:p>
    <w:p>
      <w:pPr>
        <w:pStyle w:val="P2"/>
        <w:rPr>
          <w:rStyle w:val="C3"/>
        </w:rPr>
      </w:pPr>
    </w:p>
    <w:p>
      <w:pPr>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 xml:space="preserve">Que más allá de la caratulación del Expediente, llega a este Honorable Concejo Deliberante solicitando autorización para uso del suelo no contemplado en la normativa vigente (Ordenanza Nº 1294) en el Inmueble Designación Catastral 1-1-55-9, ubicado en calle Liniers Nº 302 esq. Arzobispo Castellanos de Barrio Sur de esta Ciudad;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cambio de titularidad es de Padre a Hijo, con igual nombre, de un comercio con una antigüedad considerable de nuestra Ciudad, cuyo nombre de fantasía es “Casa Hermida”, en el cual se realizó tradicionalmente venta de combustibles líquidos y gaseosos (Kerosén y gas en garrafas y tubos);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Departamento Ejecutivo luego de análisis de la cuestión autoriza el cambio de titularidad del comercio por medio de Decreto Nº 443/09 de fecha 06 de Marzo de 2009, que consta a Fs.26 del presente;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al realizarse el cambio de titularidad se deben analizar nuevamente una serie de cuestiones que tienen que ver con las características del comercio, la visación de la construcción existente y las cuestiones que tienen que ver con la seguridad e higiene del mismo, todo de acuerdo a la legislación vigente;</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Sección Catastro informa a Fs.6 vta. que no existen planos de la edificación por su antigüedad, hecho que llevó al propietario a presentar planos aprobados según Expediente de construcción Nº 16/H/50 que poseía en su poder y no costaban en el Archivo Municipal, según informa la misma dependencia municipal a Fs. 10 vta.;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13 el Área de Obras Privadas informa que el uso de suelo solicitado para este comercio, no condice con lo establecido por el Código de Edificación y Urbanización de Alta Gracia (Ordenanza Nº 1294, Art.238), la cual no existía al momento de habilitarse por primera vez este comercio;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de conocimiento público el rol que cumplían estos comercios denominados popularmente Almacén de Ramos Generales, en otros tiempos cuando en la ciudad no existían servicios como los que hoy tenemos, caso red de distribución de gas natural, hecho que ameritaba un depósito de combustibles (Kerosén y gas envasado) de considerable magnitud y que en la actualidad se ve reducido significativamente, tanto en espacio como en el volumen del combustible comercializado;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visitado el lugar por esta Comisión de Obras y Servicios Públicos, se observó la existencia de unas pocas garrafas de 10 kg. y algunos tubos de 45 kg. de gas envasado, como un tambor de 200 lts. de kerosén, con medidas de seguridad a la vista (matafuegos, baldes con arena, estructuras incombustibles, etc.);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habilitación definitiva a otorgar por parte de las Áreas Técnicas correspondientes del Departamento Ejecutivo deberá darse al momento que se cumpla con todos los requisitos de salubridad y seguridad necesarios para estos casos, de acuerdo a las normas en vigencia;</w:t>
      </w:r>
    </w:p>
    <w:p>
      <w:pPr>
        <w:ind w:hanging="148" w:left="709"/>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23 de Septiembre de 2009;</w:t>
      </w:r>
    </w:p>
    <w:p>
      <w:pPr>
        <w:pStyle w:val="P12"/>
        <w:ind w:left="561"/>
        <w:rPr>
          <w:rStyle w:val="C3"/>
        </w:rPr>
      </w:pPr>
    </w:p>
    <w:p>
      <w:pPr>
        <w:pStyle w:val="P12"/>
        <w:ind w:left="561"/>
        <w:rPr>
          <w:rStyle w:val="C3"/>
        </w:rPr>
      </w:pPr>
    </w:p>
    <w:p>
      <w:pPr>
        <w:pStyle w:val="P12"/>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2"/>
        <w:ind w:left="561"/>
        <w:rPr>
          <w:rStyle w:val="C3"/>
          <w:b w:val="1"/>
        </w:rPr>
      </w:pPr>
    </w:p>
    <w:p>
      <w:pPr>
        <w:pStyle w:val="P12"/>
        <w:ind w:left="561"/>
        <w:rPr>
          <w:rStyle w:val="C3"/>
          <w:b w:val="1"/>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AUTORIZAR</w:t>
      </w:r>
      <w:r>
        <w:rPr>
          <w:rStyle w:val="C3"/>
          <w:rFonts w:ascii="Courier New" w:hAnsi="Courier New"/>
        </w:rPr>
        <w:t xml:space="preserve"> al Sr. Hermida, Manuel Jorge (hijo), DNI: 21.580.305, a realizar Venta de Gas Envasado y Combustible líquido (kerosén) en el comercio del cual es titular, ubicado en el inmueble Designación Catastral 1-1-55-9, ubicado en calle Liniers Nº 302 esq. Arzobispo Castellanos de Barrio Sur de esta Ciudad.-  </w:t>
      </w:r>
    </w:p>
    <w:p>
      <w:pPr>
        <w:ind w:left="561"/>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CONDICIONASE</w:t>
      </w:r>
      <w:r>
        <w:rPr>
          <w:rStyle w:val="C3"/>
          <w:rFonts w:ascii="Courier New" w:hAnsi="Courier New"/>
        </w:rPr>
        <w:t xml:space="preserve"> la habilitación correspondiente, al cumplimiento de toda la normativa de salubridad y seguridad vigente en la materia, situación que deberá ser exigida por las Áreas correspondientes del Dpto. Ejecutivo.-</w:t>
      </w:r>
    </w:p>
    <w:p>
      <w:pPr>
        <w:ind w:left="561"/>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VEINTITRÉS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pStyle w:val="P12"/>
        <w:ind w:left="113"/>
        <w:rPr>
          <w:rStyle w:val="C3"/>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360063FA">
      <w:start w:val="2"/>
      <w:numFmt w:val="bullet"/>
      <w:suff w:val="tab"/>
      <w:lvlText w:val="-"/>
      <w:lvlJc w:val="left"/>
      <w:pPr>
        <w:ind w:hanging="360" w:left="1080"/>
        <w:tabs>
          <w:tab w:val="left" w:pos="1080" w:leader="none"/>
        </w:tabs>
      </w:pPr>
      <w:rPr>
        <w:rFonts w:ascii="Courier New" w:hAnsi="Courier New"/>
      </w:rPr>
    </w:lvl>
    <w:lvl w:ilvl="1" w:tplc="4B679AE6">
      <w:start w:val="1"/>
      <w:numFmt w:val="bullet"/>
      <w:suff w:val="tab"/>
      <w:lvlText w:val="o"/>
      <w:lvlJc w:val="left"/>
      <w:pPr>
        <w:ind w:hanging="360" w:left="1800"/>
        <w:tabs>
          <w:tab w:val="left" w:pos="1800" w:leader="none"/>
        </w:tabs>
      </w:pPr>
      <w:rPr>
        <w:rFonts w:ascii="Courier New" w:hAnsi="Courier New"/>
      </w:rPr>
    </w:lvl>
    <w:lvl w:ilvl="2" w:tplc="58B91CAE">
      <w:start w:val="1"/>
      <w:numFmt w:val="bullet"/>
      <w:suff w:val="tab"/>
      <w:lvlText w:val=""/>
      <w:lvlJc w:val="left"/>
      <w:pPr>
        <w:ind w:hanging="360" w:left="2520"/>
        <w:tabs>
          <w:tab w:val="left" w:pos="2520" w:leader="none"/>
        </w:tabs>
      </w:pPr>
      <w:rPr>
        <w:rFonts w:ascii="Wingdings" w:hAnsi="Wingdings"/>
      </w:rPr>
    </w:lvl>
    <w:lvl w:ilvl="3" w:tplc="7BC2889B">
      <w:start w:val="1"/>
      <w:numFmt w:val="bullet"/>
      <w:suff w:val="tab"/>
      <w:lvlText w:val=""/>
      <w:lvlJc w:val="left"/>
      <w:pPr>
        <w:ind w:hanging="360" w:left="3240"/>
        <w:tabs>
          <w:tab w:val="left" w:pos="3240" w:leader="none"/>
        </w:tabs>
      </w:pPr>
      <w:rPr>
        <w:rFonts w:ascii="Symbol" w:hAnsi="Symbol"/>
      </w:rPr>
    </w:lvl>
    <w:lvl w:ilvl="4" w:tplc="56CC4071">
      <w:start w:val="1"/>
      <w:numFmt w:val="bullet"/>
      <w:suff w:val="tab"/>
      <w:lvlText w:val="o"/>
      <w:lvlJc w:val="left"/>
      <w:pPr>
        <w:ind w:hanging="360" w:left="3960"/>
        <w:tabs>
          <w:tab w:val="left" w:pos="3960" w:leader="none"/>
        </w:tabs>
      </w:pPr>
      <w:rPr>
        <w:rFonts w:ascii="Courier New" w:hAnsi="Courier New"/>
      </w:rPr>
    </w:lvl>
    <w:lvl w:ilvl="5" w:tplc="673C8D72">
      <w:start w:val="1"/>
      <w:numFmt w:val="bullet"/>
      <w:suff w:val="tab"/>
      <w:lvlText w:val=""/>
      <w:lvlJc w:val="left"/>
      <w:pPr>
        <w:ind w:hanging="360" w:left="4680"/>
        <w:tabs>
          <w:tab w:val="left" w:pos="4680" w:leader="none"/>
        </w:tabs>
      </w:pPr>
      <w:rPr>
        <w:rFonts w:ascii="Wingdings" w:hAnsi="Wingdings"/>
      </w:rPr>
    </w:lvl>
    <w:lvl w:ilvl="6" w:tplc="132B1328">
      <w:start w:val="1"/>
      <w:numFmt w:val="bullet"/>
      <w:suff w:val="tab"/>
      <w:lvlText w:val=""/>
      <w:lvlJc w:val="left"/>
      <w:pPr>
        <w:ind w:hanging="360" w:left="5400"/>
        <w:tabs>
          <w:tab w:val="left" w:pos="5400" w:leader="none"/>
        </w:tabs>
      </w:pPr>
      <w:rPr>
        <w:rFonts w:ascii="Symbol" w:hAnsi="Symbol"/>
      </w:rPr>
    </w:lvl>
    <w:lvl w:ilvl="7" w:tplc="49ECB9DD">
      <w:start w:val="1"/>
      <w:numFmt w:val="bullet"/>
      <w:suff w:val="tab"/>
      <w:lvlText w:val="o"/>
      <w:lvlJc w:val="left"/>
      <w:pPr>
        <w:ind w:hanging="360" w:left="6120"/>
        <w:tabs>
          <w:tab w:val="left" w:pos="6120" w:leader="none"/>
        </w:tabs>
      </w:pPr>
      <w:rPr>
        <w:rFonts w:ascii="Courier New" w:hAnsi="Courier New"/>
      </w:rPr>
    </w:lvl>
    <w:lvl w:ilvl="8" w:tplc="31CDF731">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2009-09-26T03:48:00Z</dcterms:created>
  <cp:lastModifiedBy>Ethan Puglia</cp:lastModifiedBy>
  <cp:lastPrinted>2009-09-26T04:02:00Z</cp:lastPrinted>
  <dcterms:modified xsi:type="dcterms:W3CDTF">2019-03-28T17:34:14Z</dcterms:modified>
  <cp:revision>8</cp:revision>
  <dc:title>PROYECTO DE ORDENANZA VIOLENCIA FAMILIAR</dc:title>
</cp:coreProperties>
</file>