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693BC7" Type="http://schemas.openxmlformats.org/officeDocument/2006/relationships/officeDocument" Target="/word/document.xml" /><Relationship Id="coreR3E693BC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8482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Plan Director de Lucha contra el Dengue, aprobado por la Ley Provincial N° 9666 y que figura en el Anexo I de la presente en NUEVE (9) fojas útiles; y</w:t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Ministerio de Salud de la Provincia de Córdoba, a través de la Resolución Ministerial N° 200/09, procedió a la declaración de Alerta Sanitaria en la jurisdicción provincial por el incremento registrado en los casos de Dengue, adoptando medidas inmediatas, efectivas e integrales de control epidemiológico, creándose asimismo un Comité de Expertos de Control de Dengue;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garantizar la salud, en tanto bien natural y social, implica para el Estado Provincial – conforme a los términos del Art.59° y concordantes de la Constitución Provincial – una activa participación en la integración de recursos y en el establecimiento de políticas y acciones sanitarias, por si o en concierto con otras estructuras federales, provinciales, municipales o privadas;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esfuerzo realizado por el Estado Provincial, puesto en cabeza del Ministerio de Salud y otras áreas Gubernamentales, requiere también del compromiso ciudadano de prestar servicios civiles en los casos que las leyes así lo requieran, evitar la contaminación ambiental y participar en la defensa ecológica, cuidar la salud como bien social y actuar solidariamente deberes contemplados en el Art.38° de la Constitución Provincial;       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necesidad de proteger la salud de todos los habitantes de la Provincia de Córdoba, señala la urgencia de contar con una norma que permita disponer de mecanismos ágiles y eficaces que contribuyan a atender la situación sanitaria generada por el Dengue;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alcanzar la finalidad expresada, resulta menester la adopción de medidas coordinadas que guarden estricta relación con el carácter de los acontecimientos aludidos, las que son ampliamente tipificadas y desarrolladas en el Anexo I del texto legal propuesto;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Que el Art.4° de la Ley N° 9666 invita los Municipios y   Comunas a adherir a la misma;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conforme a lo dispuesto en el Art.168°, inc.7° de la Constitución de la Provincia, es inherente a la competencia municipal el entender en materia de salubridad, salud, higiene pública, cementerios, plazas y paseos, protección del medio ambiente, paisaje, equilibrio ecológico y polución ambiental;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Estado Municipal de la ciudad de Alta Gracia reconoce a la salud como derecho fundamental del hombre y garantiza su protección integral como bien natural y social, comprometiéndose a adecuar la política sanitaria local a los lineamientos provinciales, nacionales e internacionales; 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se resuelve por unanimidad su aprobación en General y en Particular en Sesión Ordinaria del día 23 de Septiembre de 2009;</w:t>
      </w:r>
    </w:p>
    <w:p>
      <w:pPr>
        <w:ind w:hanging="148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ADHIÉRASE</w:t>
      </w:r>
      <w:r>
        <w:rPr>
          <w:rStyle w:val="C3"/>
          <w:rFonts w:ascii="Courier New" w:hAnsi="Courier New"/>
        </w:rPr>
        <w:t xml:space="preserve"> al “Plan Director de Lucha Contra el Dengue”, creado por Ley Provincial N° 9666 y detallado en el Anexo I de la misma, el cual forma parte integrante de la presente Ordenanza en NUEVE (9) fojas útiles.-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CR</w:t>
      </w:r>
      <w:r>
        <w:rPr>
          <w:rStyle w:val="C3"/>
          <w:rFonts w:ascii="Courier New" w:hAnsi="Courier New"/>
          <w:b w:val="1"/>
        </w:rPr>
        <w:t xml:space="preserve">ÉASE </w:t>
      </w:r>
      <w:r>
        <w:rPr>
          <w:rStyle w:val="C3"/>
          <w:rFonts w:ascii="Courier New" w:hAnsi="Courier New"/>
        </w:rPr>
        <w:t>un Comité de Seguimiento de aplicación del Plan Director de Lucha Contra el Dengue, cuyo presidente será designado por el Departamento Ejecutivo y estará integrado por: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15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UN (1) representante de la Dirección de Salud de la Municipalidad de Alta Gracia.</w:t>
      </w:r>
    </w:p>
    <w:p>
      <w:pPr>
        <w:numPr>
          <w:ilvl w:val="0"/>
          <w:numId w:val="15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UN (1)  representante de la Secretaría de Servicios Públicos y Medio Ambiente de la Municipalidad de Alta Gracia</w:t>
      </w:r>
      <w:r>
        <w:rPr>
          <w:rStyle w:val="C3"/>
          <w:rFonts w:ascii="Courier New" w:hAnsi="Courier New"/>
          <w:b w:val="1"/>
        </w:rPr>
        <w:t>.</w:t>
      </w:r>
    </w:p>
    <w:p>
      <w:pPr>
        <w:numPr>
          <w:ilvl w:val="0"/>
          <w:numId w:val="15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UN (1) representante de la Secretaría de Obras Públicas de la Municipalidad de Alta Gracia</w:t>
      </w:r>
      <w:r>
        <w:rPr>
          <w:rStyle w:val="C3"/>
          <w:rFonts w:ascii="Courier New" w:hAnsi="Courier New"/>
          <w:b w:val="1"/>
        </w:rPr>
        <w:t>.</w:t>
      </w:r>
    </w:p>
    <w:p>
      <w:pPr>
        <w:numPr>
          <w:ilvl w:val="0"/>
          <w:numId w:val="15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UN (1) representante de la Secretaría de Educación y Cultura de la Municipalidad de Alta Gracia.</w:t>
      </w:r>
    </w:p>
    <w:p>
      <w:pPr>
        <w:numPr>
          <w:ilvl w:val="0"/>
          <w:numId w:val="15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UN (1) representante de la Secretaría de Turismo de la Municipalidad de Alta Gracia</w:t>
      </w:r>
    </w:p>
    <w:p>
      <w:pPr>
        <w:numPr>
          <w:ilvl w:val="0"/>
          <w:numId w:val="15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UN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(1) representante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 la Comisión de Salud y Medio Ambiente del Honorable Concejo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Deliberante de la Ciudad de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Alta Gracia.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UN (1) representante designado por los Centros Vecinales de la ciudad de Alta Gracia.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...///4.-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DER</w:t>
      </w:r>
      <w:r>
        <w:rPr>
          <w:rStyle w:val="C3"/>
          <w:rFonts w:ascii="Courier New" w:hAnsi="Courier New"/>
          <w:b w:val="1"/>
        </w:rPr>
        <w:t xml:space="preserve">ÓGASE </w:t>
      </w:r>
      <w:r>
        <w:rPr>
          <w:rStyle w:val="C3"/>
          <w:rFonts w:ascii="Courier New" w:hAnsi="Courier New"/>
        </w:rPr>
        <w:t>la Ordenanza N° 4680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VEINTITRÉS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pStyle w:val="P12"/>
        <w:ind w:left="113"/>
        <w:rPr>
          <w:rStyle w:val="C3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sz w:val="164"/>
        </w:rPr>
        <w:t>A</w:t>
      </w:r>
      <w:r>
        <w:rPr>
          <w:rStyle w:val="C3"/>
          <w:rFonts w:ascii="Courier New" w:hAnsi="Courier New"/>
          <w:b w:val="1"/>
          <w:sz w:val="164"/>
        </w:rPr>
        <w:t>N</w:t>
      </w:r>
      <w:r>
        <w:rPr>
          <w:rStyle w:val="C3"/>
          <w:rFonts w:ascii="Courier New" w:hAnsi="Courier New"/>
          <w:b w:val="1"/>
          <w:sz w:val="164"/>
        </w:rPr>
        <w:t>E</w:t>
      </w:r>
      <w:r>
        <w:rPr>
          <w:rStyle w:val="C3"/>
          <w:rFonts w:ascii="Courier New" w:hAnsi="Courier New"/>
          <w:b w:val="1"/>
          <w:sz w:val="164"/>
        </w:rPr>
        <w:t>XO I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3D114BE6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1394ECB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7DD2FB4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1B3849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4A11966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0567DE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89EFAD3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DDB5D5E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0321B265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2009-09-28T22:14:00Z</dcterms:created>
  <cp:lastModifiedBy>Ethan Puglia</cp:lastModifiedBy>
  <cp:lastPrinted>2009-09-26T04:02:00Z</cp:lastPrinted>
  <dcterms:modified xsi:type="dcterms:W3CDTF">2019-03-28T17:34:14Z</dcterms:modified>
  <cp:revision>7</cp:revision>
  <dc:title>PROYECTO DE ORDENANZA VIOLENCIA FAMILIAR</dc:title>
</cp:coreProperties>
</file>