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579FED" Type="http://schemas.openxmlformats.org/officeDocument/2006/relationships/officeDocument" Target="/word/document.xml" /><Relationship Id="coreR50579F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8489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 Nº 8437, el Expediente Nº 1549/06;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plexo normativo de la Ordenanza de mención, se exime  en un CIEN POR CIENTO (100%) la deuda que por Tasa  por Servicios a la Propiedad mantiene con la Municipalidad de Alta Gracia, el inmueble Designación Catastral 3-01-258-023-000;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 inmueble con posterioridad se inscribió como propiedad horizontal bajo la Designación Catastral 3-01-258-023-0001- Cta. Nº 00030739; </w:t>
      </w:r>
    </w:p>
    <w:p>
      <w:pPr>
        <w:ind w:left="374"/>
        <w:jc w:val="right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y la Ordenanza de referencia por la Comisión de Hacienda, la misma emite despacho favorable, aprobado por Unanimidad en Sesión Ordinaria del día 07 de Octubre de 2009;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</w:t>
      </w:r>
      <w:r>
        <w:rPr>
          <w:rStyle w:val="C3"/>
          <w:rFonts w:ascii="Courier New" w:hAnsi="Courier New"/>
          <w:b w:val="1"/>
        </w:rPr>
        <w:t>ÍCASE</w:t>
      </w:r>
      <w:r>
        <w:rPr>
          <w:rStyle w:val="C3"/>
          <w:rFonts w:ascii="Courier New" w:hAnsi="Courier New"/>
        </w:rPr>
        <w:t xml:space="preserve"> los Art. 1 y 2 de la Ordenanza Nº 8437, en donde dice “… inmueble Designación Catastral 3-01-258-023-000..”, debe decir”… inmueble Designación Catastral  3-01-258-023-0001- Cta. Nº 00030739…”;.-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  <w:r>
        <w:t xml:space="preserve">DADA EN LA SALA DE SESIONES DEL HONORABLE CONCEJO DELIBERANTE A LOS SIETE DÍAS DEL MES DE OCTUBRE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7453698D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B1CC9C2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F2C93B2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4716CA5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E2A946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CD98679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339CF5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D3B4CD9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981675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2009-10-09T02:11:00Z</dcterms:created>
  <cp:lastModifiedBy>Ethan Puglia</cp:lastModifiedBy>
  <cp:lastPrinted>2009-10-09T02:04:00Z</cp:lastPrinted>
  <dcterms:modified xsi:type="dcterms:W3CDTF">2019-03-28T17:34:14Z</dcterms:modified>
  <cp:revision>6</cp:revision>
  <dc:title>PROYECTO DE ORDENANZA VIOLENCIA FAMILIAR</dc:title>
</cp:coreProperties>
</file>