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CF2091F" Type="http://schemas.openxmlformats.org/officeDocument/2006/relationships/officeDocument" Target="/word/document.xml" /><Relationship Id="coreR2CF2091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8490</w:t>
      </w:r>
    </w:p>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1410/03; y</w:t>
      </w:r>
    </w:p>
    <w:p>
      <w:pPr>
        <w:rPr>
          <w:rStyle w:val="C3"/>
        </w:rPr>
      </w:pPr>
    </w:p>
    <w:p>
      <w:pPr>
        <w:rPr>
          <w:rStyle w:val="C3"/>
        </w:rPr>
      </w:pPr>
    </w:p>
    <w:p>
      <w:pPr>
        <w:rPr>
          <w:rStyle w:val="C3"/>
        </w:rPr>
      </w:pPr>
    </w:p>
    <w:p>
      <w:pPr>
        <w:pStyle w:val="P2"/>
      </w:pPr>
      <w:r>
        <w:t>C O N S I D E R A N D O</w:t>
      </w:r>
    </w:p>
    <w:p>
      <w:pPr>
        <w:pStyle w:val="P15"/>
        <w:tabs>
          <w:tab w:val="clear" w:pos="4252" w:leader="none"/>
          <w:tab w:val="clear" w:pos="8504" w:leader="none"/>
        </w:tabs>
      </w:pPr>
    </w:p>
    <w:p>
      <w:pPr>
        <w:pStyle w:val="P15"/>
        <w:tabs>
          <w:tab w:val="clear" w:pos="4252" w:leader="none"/>
          <w:tab w:val="clear" w:pos="8504" w:leader="none"/>
        </w:tabs>
      </w:pPr>
    </w:p>
    <w:p>
      <w:pPr>
        <w:pStyle w:val="P15"/>
        <w:tabs>
          <w:tab w:val="clear" w:pos="4252" w:leader="none"/>
          <w:tab w:val="clear" w:pos="8504" w:leader="none"/>
        </w:tabs>
      </w:pPr>
    </w:p>
    <w:p>
      <w:pPr>
        <w:ind w:left="374"/>
        <w:jc w:val="both"/>
        <w:rPr>
          <w:rStyle w:val="C3"/>
          <w:rFonts w:ascii="Courier New" w:hAnsi="Courier New"/>
        </w:rPr>
      </w:pPr>
      <w:r>
        <w:rPr>
          <w:rStyle w:val="C3"/>
          <w:rFonts w:ascii="Courier New" w:hAnsi="Courier New"/>
        </w:rPr>
        <w:t xml:space="preserve">Que a través del mismo, la Sra. Marta Pérez de Bonardi, solicita  en Agosto de 2003 se reconsidere su situación de deudora ante el Estado Municipal;</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realiza tal petición correspondiente a los inmuebles Designaciones Catastrales 03-01-207-012-000 y 03 01-207-011-000;</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en su momento, solicitó tal beneficio al atravesar  una difícil situación que le impedía cumplir con sus obligaciones tributarias y los planes ofrecidos eran imposibles de cumplimentar;</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con posterioridad (Fs.40) ofreció, cancelar la deuda de mención realizando tareas, atento que la Sra. Pérez es docente, guía de turismo y recepcionista;</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a Fs.86, la Dirección de Ingresos Públicos noticia que la peticionante se hizo presente en la misma en referencia a la deuda que su esposo mantiene por Tasa por Servicios de Inspección General e Higiene por el Legajo 6384;</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las Designaciones Catastrales se corresponden a su vivienda y un lote colindante el que utiliza para huerta, frutales y mascotas, las que le ayuda al grupo familiar a subsistir;</w:t>
      </w:r>
    </w:p>
    <w:p>
      <w:pPr>
        <w:ind w:left="374"/>
        <w:jc w:val="right"/>
        <w:rPr>
          <w:rStyle w:val="C3"/>
          <w:rFonts w:ascii="Courier New" w:hAnsi="Courier New"/>
        </w:rPr>
      </w:pPr>
      <w:r>
        <w:rPr>
          <w:rStyle w:val="C3"/>
          <w:rFonts w:ascii="Courier New" w:hAnsi="Courier New"/>
        </w:rPr>
        <w:t>...///</w:t>
      </w:r>
    </w:p>
    <w:p>
      <w:pPr>
        <w:ind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a Fs.47 obra Relevamiento Socioeconómico y Ambiental el que indica que se trata de un grupo familiar nuclear con ingresos provenientes de la jubilación de la solicitante, trabajo informal del esposo, Sr. Bonardi en changas de albañilería, y  que el inmueble se observa deteriorado;</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mediante nota de fecha 29 de Septiembre de 2009 solicita nuevamente se considere su estado de deuda permitiendo la cancelación de la misma a valores históricos sin intereses y actualizaciones;</w:t>
      </w:r>
    </w:p>
    <w:p>
      <w:pPr>
        <w:ind w:left="374"/>
        <w:jc w:val="right"/>
        <w:rPr>
          <w:rStyle w:val="C3"/>
          <w:rFonts w:ascii="Courier New" w:hAnsi="Courier New"/>
        </w:rPr>
      </w:pPr>
    </w:p>
    <w:p>
      <w:pPr>
        <w:ind w:left="374"/>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07 de Octubre de 2009;</w:t>
      </w:r>
    </w:p>
    <w:p>
      <w:pPr>
        <w:pStyle w:val="P12"/>
        <w:ind w:left="561"/>
        <w:rPr>
          <w:rStyle w:val="C3"/>
        </w:rPr>
      </w:pPr>
    </w:p>
    <w:p>
      <w:pPr>
        <w:pStyle w:val="P12"/>
        <w:ind w:left="561"/>
        <w:rPr>
          <w:rStyle w:val="C3"/>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AUTORIZASE</w:t>
      </w:r>
      <w:r>
        <w:rPr>
          <w:rStyle w:val="C3"/>
          <w:rFonts w:ascii="Courier New" w:hAnsi="Courier New"/>
        </w:rPr>
        <w:t xml:space="preserve"> al Departamento Ejecutivo a percibir el pago de la deuda que en concepto de Tasa por Servicios a la Propiedad mantiene con la Municipalidad de Alta Gracia los inmuebles Designaciones  Catastrales 03-01-207-012-000 y 03 01-207-011-000, de contado y a valores históricos, previa regularización de honorarios y gastos debidamente documentados de los procuradores actuantes.-</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AUTORIZASE</w:t>
      </w:r>
      <w:r>
        <w:rPr>
          <w:rStyle w:val="C3"/>
          <w:rFonts w:ascii="Courier New" w:hAnsi="Courier New"/>
        </w:rPr>
        <w:t xml:space="preserve"> al Departamento Ejecutivo a percibir el pago de la deuda que en concepto de  Tasa por Servicios de Inspección General e Higiene mantiene con el Estado Municipal el responsable del  Legajo 6384 de contado y a valores históricos, previa regularización de honorarios y gastos debidamente documentados, de los procuradores actuantes.-</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374"/>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AUTORIZA</w:t>
      </w:r>
      <w:r>
        <w:rPr>
          <w:rStyle w:val="C3"/>
          <w:rFonts w:ascii="Courier New" w:hAnsi="Courier New"/>
          <w:b w:val="1"/>
        </w:rPr>
        <w:t>SE</w:t>
      </w:r>
      <w:r>
        <w:rPr>
          <w:rStyle w:val="C3"/>
          <w:rFonts w:ascii="Courier New" w:hAnsi="Courier New"/>
        </w:rPr>
        <w:t xml:space="preserve"> al Departamento Ejecutivo a percibir el pago de la deuda que en concepto de Tasa a los Automotores posee el rodado B1017531 de contado y a valores históricos previa regularización  de honorarios y gastos debidamente documentados de los procuradores actuantes.-</w:t>
      </w:r>
    </w:p>
    <w:p>
      <w:pPr>
        <w:ind w:hanging="374" w:left="374"/>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pPr>
      <w:r>
        <w:t xml:space="preserve">DADA EN LA SALA DE SESIONES DEL HONORABLE CONCEJO DELIBERANTE A LOS SIETE DÍAS DEL MES DE OCTUBRE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4D7D5D89">
      <w:start w:val="2"/>
      <w:numFmt w:val="bullet"/>
      <w:suff w:val="tab"/>
      <w:lvlText w:val="-"/>
      <w:lvlJc w:val="left"/>
      <w:pPr>
        <w:ind w:hanging="360" w:left="1080"/>
        <w:tabs>
          <w:tab w:val="left" w:pos="1080" w:leader="none"/>
        </w:tabs>
      </w:pPr>
      <w:rPr>
        <w:rFonts w:ascii="Courier New" w:hAnsi="Courier New"/>
      </w:rPr>
    </w:lvl>
    <w:lvl w:ilvl="1" w:tplc="7F994377">
      <w:start w:val="1"/>
      <w:numFmt w:val="bullet"/>
      <w:suff w:val="tab"/>
      <w:lvlText w:val="o"/>
      <w:lvlJc w:val="left"/>
      <w:pPr>
        <w:ind w:hanging="360" w:left="1800"/>
        <w:tabs>
          <w:tab w:val="left" w:pos="1800" w:leader="none"/>
        </w:tabs>
      </w:pPr>
      <w:rPr>
        <w:rFonts w:ascii="Courier New" w:hAnsi="Courier New"/>
      </w:rPr>
    </w:lvl>
    <w:lvl w:ilvl="2" w:tplc="64F89559">
      <w:start w:val="1"/>
      <w:numFmt w:val="bullet"/>
      <w:suff w:val="tab"/>
      <w:lvlText w:val=""/>
      <w:lvlJc w:val="left"/>
      <w:pPr>
        <w:ind w:hanging="360" w:left="2520"/>
        <w:tabs>
          <w:tab w:val="left" w:pos="2520" w:leader="none"/>
        </w:tabs>
      </w:pPr>
      <w:rPr>
        <w:rFonts w:ascii="Wingdings" w:hAnsi="Wingdings"/>
      </w:rPr>
    </w:lvl>
    <w:lvl w:ilvl="3" w:tplc="72632D10">
      <w:start w:val="1"/>
      <w:numFmt w:val="bullet"/>
      <w:suff w:val="tab"/>
      <w:lvlText w:val=""/>
      <w:lvlJc w:val="left"/>
      <w:pPr>
        <w:ind w:hanging="360" w:left="3240"/>
        <w:tabs>
          <w:tab w:val="left" w:pos="3240" w:leader="none"/>
        </w:tabs>
      </w:pPr>
      <w:rPr>
        <w:rFonts w:ascii="Symbol" w:hAnsi="Symbol"/>
      </w:rPr>
    </w:lvl>
    <w:lvl w:ilvl="4" w:tplc="073277C8">
      <w:start w:val="1"/>
      <w:numFmt w:val="bullet"/>
      <w:suff w:val="tab"/>
      <w:lvlText w:val="o"/>
      <w:lvlJc w:val="left"/>
      <w:pPr>
        <w:ind w:hanging="360" w:left="3960"/>
        <w:tabs>
          <w:tab w:val="left" w:pos="3960" w:leader="none"/>
        </w:tabs>
      </w:pPr>
      <w:rPr>
        <w:rFonts w:ascii="Courier New" w:hAnsi="Courier New"/>
      </w:rPr>
    </w:lvl>
    <w:lvl w:ilvl="5" w:tplc="0BBDB084">
      <w:start w:val="1"/>
      <w:numFmt w:val="bullet"/>
      <w:suff w:val="tab"/>
      <w:lvlText w:val=""/>
      <w:lvlJc w:val="left"/>
      <w:pPr>
        <w:ind w:hanging="360" w:left="4680"/>
        <w:tabs>
          <w:tab w:val="left" w:pos="4680" w:leader="none"/>
        </w:tabs>
      </w:pPr>
      <w:rPr>
        <w:rFonts w:ascii="Wingdings" w:hAnsi="Wingdings"/>
      </w:rPr>
    </w:lvl>
    <w:lvl w:ilvl="6" w:tplc="2DDA5CDC">
      <w:start w:val="1"/>
      <w:numFmt w:val="bullet"/>
      <w:suff w:val="tab"/>
      <w:lvlText w:val=""/>
      <w:lvlJc w:val="left"/>
      <w:pPr>
        <w:ind w:hanging="360" w:left="5400"/>
        <w:tabs>
          <w:tab w:val="left" w:pos="5400" w:leader="none"/>
        </w:tabs>
      </w:pPr>
      <w:rPr>
        <w:rFonts w:ascii="Symbol" w:hAnsi="Symbol"/>
      </w:rPr>
    </w:lvl>
    <w:lvl w:ilvl="7" w:tplc="5251A81D">
      <w:start w:val="1"/>
      <w:numFmt w:val="bullet"/>
      <w:suff w:val="tab"/>
      <w:lvlText w:val="o"/>
      <w:lvlJc w:val="left"/>
      <w:pPr>
        <w:ind w:hanging="360" w:left="6120"/>
        <w:tabs>
          <w:tab w:val="left" w:pos="6120" w:leader="none"/>
        </w:tabs>
      </w:pPr>
      <w:rPr>
        <w:rFonts w:ascii="Courier New" w:hAnsi="Courier New"/>
      </w:rPr>
    </w:lvl>
    <w:lvl w:ilvl="8" w:tplc="6CBDE8AF">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2"/>
  </w:num>
  <w:num w:numId="6">
    <w:abstractNumId w:val="13"/>
  </w:num>
  <w:num w:numId="7">
    <w:abstractNumId w:val="8"/>
  </w:num>
  <w:num w:numId="8">
    <w:abstractNumId w:val="6"/>
  </w:num>
  <w:num w:numId="9">
    <w:abstractNumId w:val="11"/>
  </w:num>
  <w:num w:numId="10">
    <w:abstractNumId w:val="14"/>
  </w:num>
  <w:num w:numId="11">
    <w:abstractNumId w:val="0"/>
  </w:num>
  <w:num w:numId="12">
    <w:abstractNumId w:val="5"/>
  </w:num>
  <w:num w:numId="13">
    <w:abstractNumId w:val="4"/>
  </w:num>
  <w:num w:numId="14">
    <w:abstractNumId w:val="7"/>
  </w:num>
  <w:num w:numId="15">
    <w:abstractNumId w:val="1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2009-10-09T02:28:00Z</dcterms:created>
  <cp:lastModifiedBy>Ethan Puglia</cp:lastModifiedBy>
  <cp:lastPrinted>2009-10-09T02:21:00Z</cp:lastPrinted>
  <dcterms:modified xsi:type="dcterms:W3CDTF">2019-03-28T17:34:14Z</dcterms:modified>
  <cp:revision>6</cp:revision>
  <dc:title>PROYECTO DE ORDENANZA VIOLENCIA FAMILIAR</dc:title>
</cp:coreProperties>
</file>