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341591" Type="http://schemas.openxmlformats.org/officeDocument/2006/relationships/officeDocument" Target="/word/document.xml" /><Relationship Id="coreR83415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8491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327/I/06;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>
      <w:pPr>
        <w:pStyle w:val="P15"/>
        <w:tabs>
          <w:tab w:val="clear" w:pos="4252" w:leader="none"/>
          <w:tab w:val="clear" w:pos="8504" w:leader="none"/>
        </w:tabs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mismo es iniciado por el Sr. Gustavo Corsiforti solicitando eximición de Tasa por Servicios de Cementerios correspondiente a los aranceles por introducción e inhumación  de  la sepultura identificación Nº 006206;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manifiesta a Fs.21 su imposibilidad de afrontar el pago de la deuda y de las tasa actuales; 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Relevamiento Socioeconómico y Ambiental realizado indica que el peticionante carece de ingresos y oportunamente se le concedió beneficios a través de Ordenanzas Nº 7636 y 7692; </w:t>
      </w:r>
    </w:p>
    <w:p>
      <w:pPr>
        <w:ind w:left="374"/>
        <w:jc w:val="right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07 de Octubre de 2009;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CONDON</w:t>
      </w:r>
      <w:r>
        <w:rPr>
          <w:rStyle w:val="C3"/>
          <w:rFonts w:ascii="Courier New" w:hAnsi="Courier New"/>
          <w:b w:val="1"/>
        </w:rPr>
        <w:t>AR</w:t>
      </w:r>
      <w:r>
        <w:rPr>
          <w:rStyle w:val="C3"/>
          <w:rFonts w:ascii="Courier New" w:hAnsi="Courier New"/>
        </w:rPr>
        <w:t xml:space="preserve"> en un CIEN POR CIENTO (100%) al responsable del pago de la deuda que a la fecha de promulgación de la presente mantiene con la Municipalidad de Alta Gracia, correspondiente a los aranceles por introducción e inhumación de los restos contenidos en la sepultura identificación Nº 006206.-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el pago de la Tasa por Servicios de Administración y Mantenimiento de los cementerios correspondiente a la identificación Nº 006206 por el periodo comprendido entre cuota 006/2005 y cuota 006/2009.-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6A6DAC3C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0A589D7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2694597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5E9510F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5BB5328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BBA7B6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0A823DC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AB38EC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289A46A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2009-10-09T03:01:00Z</dcterms:created>
  <cp:lastModifiedBy>Ethan Puglia</cp:lastModifiedBy>
  <cp:lastPrinted>2009-10-09T02:21:00Z</cp:lastPrinted>
  <dcterms:modified xsi:type="dcterms:W3CDTF">2019-03-28T17:34:14Z</dcterms:modified>
  <cp:revision>7</cp:revision>
  <dc:title>PROYECTO DE ORDENANZA VIOLENCIA FAMILIAR</dc:title>
</cp:coreProperties>
</file>