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BD2AE7D" Type="http://schemas.openxmlformats.org/officeDocument/2006/relationships/officeDocument" Target="/word/document.xml" /><Relationship Id="coreR4BD2AE7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Courier New" w:hAnsi="Courier New"/>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pStyle w:val="P4"/>
        <w:rPr>
          <w:rStyle w:val="C3"/>
        </w:rPr>
      </w:pPr>
    </w:p>
    <w:p>
      <w:pPr>
        <w:pStyle w:val="P4"/>
      </w:pPr>
      <w:r>
        <w:t>ORDENANZA N° 8492</w:t>
      </w:r>
    </w:p>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La Ordenanza 7810; y</w:t>
      </w:r>
    </w:p>
    <w:p>
      <w:pPr>
        <w:pStyle w:val="P2"/>
        <w:rPr>
          <w:rStyle w:val="C3"/>
        </w:rPr>
      </w:pPr>
    </w:p>
    <w:p>
      <w:pPr>
        <w:pStyle w:val="P2"/>
      </w:pPr>
      <w:r>
        <w:t>C O N S I D E R A N D O</w:t>
      </w:r>
    </w:p>
    <w:p/>
    <w:p>
      <w:pPr>
        <w:pStyle w:val="P17"/>
        <w:ind w:left="374"/>
        <w:rPr>
          <w:rStyle w:val="C3"/>
          <w:b w:val="1"/>
        </w:rPr>
      </w:pPr>
      <w:r>
        <w:rPr>
          <w:rStyle w:val="C3"/>
          <w:b w:val="0"/>
        </w:rPr>
        <w:t>Que dicha Ordenanza posee un yerro formal en sus Considerandos, consignándose erróneamente el número de la Ordenanza N° 2117 cuando se trata de la Ordenanza N° 2127;</w:t>
      </w:r>
    </w:p>
    <w:p>
      <w:pPr>
        <w:ind w:left="374"/>
        <w:jc w:val="both"/>
        <w:rPr>
          <w:rStyle w:val="C3"/>
          <w:rFonts w:ascii="Courier New" w:hAnsi="Courier New"/>
        </w:rPr>
      </w:pPr>
    </w:p>
    <w:p>
      <w:pPr>
        <w:ind w:left="374"/>
        <w:jc w:val="both"/>
        <w:rPr>
          <w:rStyle w:val="C3"/>
          <w:rFonts w:ascii="Courier New" w:hAnsi="Courier New"/>
        </w:rPr>
      </w:pPr>
      <w:r>
        <w:rPr>
          <w:rStyle w:val="C3"/>
          <w:rFonts w:ascii="Courier New" w:hAnsi="Courier New"/>
        </w:rPr>
        <w:t>Que es necesario aclarar algunas cuestiones que no fueron contempladas por la Ordenanza en vigencia y que son fundamentales en la organización del evento;</w:t>
      </w:r>
    </w:p>
    <w:p>
      <w:pPr>
        <w:ind w:left="374"/>
        <w:jc w:val="both"/>
        <w:rPr>
          <w:rStyle w:val="C3"/>
          <w:rFonts w:ascii="Courier New" w:hAnsi="Courier New"/>
        </w:rPr>
      </w:pPr>
    </w:p>
    <w:p>
      <w:pPr>
        <w:ind w:left="374"/>
        <w:jc w:val="both"/>
        <w:rPr>
          <w:rStyle w:val="C3"/>
          <w:rFonts w:ascii="Courier New" w:hAnsi="Courier New"/>
        </w:rPr>
      </w:pPr>
      <w:r>
        <w:rPr>
          <w:rStyle w:val="C3"/>
          <w:rFonts w:ascii="Courier New" w:hAnsi="Courier New"/>
        </w:rPr>
        <w:t>Que, asimismo, es menester plasmar en la normativa una regla que se creó desde el imaginario colectivo y que siempre se ha aplicado, que es que los miembros de la Comisión se desempeñan en sus cargos ad honorem;</w:t>
      </w:r>
    </w:p>
    <w:p>
      <w:pPr>
        <w:ind w:left="374"/>
        <w:jc w:val="both"/>
        <w:rPr>
          <w:rStyle w:val="C3"/>
          <w:rFonts w:ascii="Courier New" w:hAnsi="Courier New"/>
        </w:rPr>
      </w:pPr>
    </w:p>
    <w:p>
      <w:pPr>
        <w:ind w:left="374"/>
        <w:jc w:val="both"/>
        <w:rPr>
          <w:rStyle w:val="C3"/>
          <w:rFonts w:ascii="Courier New" w:hAnsi="Courier New"/>
        </w:rPr>
      </w:pPr>
      <w:r>
        <w:rPr>
          <w:rStyle w:val="C3"/>
          <w:rFonts w:ascii="Courier New" w:hAnsi="Courier New"/>
        </w:rPr>
        <w:t xml:space="preserve">Que en el Artículo 4° de dicha Ordenanza se establecen las  inhabilidades, incompatibilidades y prohibiciones de los concejales, de forma genérica, sin prestar especial atención a la naturaleza de esta Comisión:</w:t>
      </w:r>
    </w:p>
    <w:p>
      <w:pPr>
        <w:ind w:left="374"/>
        <w:jc w:val="both"/>
        <w:rPr>
          <w:rStyle w:val="C3"/>
          <w:rFonts w:ascii="Courier New" w:hAnsi="Courier New"/>
        </w:rPr>
      </w:pPr>
    </w:p>
    <w:p>
      <w:pPr>
        <w:ind w:left="374"/>
        <w:jc w:val="both"/>
        <w:rPr>
          <w:rStyle w:val="C3"/>
          <w:rFonts w:ascii="Courier New" w:hAnsi="Courier New"/>
        </w:rPr>
      </w:pPr>
      <w:r>
        <w:rPr>
          <w:rStyle w:val="C3"/>
          <w:rFonts w:ascii="Courier New" w:hAnsi="Courier New"/>
        </w:rPr>
        <w:t>Que, asimismo, hay una contradicción en el Artículo 4°, ya que luego de establecer que se aplicarán a los miembros de la Comisión las mismas incompatibilidades que las determinadas por Carta Orgánica Municipal para los Concejales, entre las cuales se incluye la de ejercer función o empleo en los Gobiernos Nacional, Provincial o Municipal, se dispone que ciertos cargos podrán ser integrados por personal no perteneciente a planta permanente;</w:t>
      </w:r>
    </w:p>
    <w:p>
      <w:pPr>
        <w:ind w:left="374"/>
        <w:jc w:val="both"/>
        <w:rPr>
          <w:rStyle w:val="C3"/>
          <w:rFonts w:ascii="Courier New" w:hAnsi="Courier New"/>
        </w:rPr>
      </w:pPr>
    </w:p>
    <w:p>
      <w:pPr>
        <w:ind w:left="374"/>
        <w:jc w:val="both"/>
        <w:rPr>
          <w:rStyle w:val="C3"/>
          <w:rFonts w:ascii="Courier New" w:hAnsi="Courier New"/>
        </w:rPr>
      </w:pPr>
      <w:r>
        <w:rPr>
          <w:rStyle w:val="C3"/>
          <w:rFonts w:ascii="Courier New" w:hAnsi="Courier New"/>
        </w:rPr>
        <w:t>Que en el Artículo 6° se incluyen ciertas cuestiones que no son propiamente deberes o atribuciones, sino reglas de funcionamiento de la Comisión, por lo que, por corrección legislativa y para facilitar la lectura e interpretación de la norma, deberían ser re ubicados;</w:t>
      </w:r>
    </w:p>
    <w:p>
      <w:pPr>
        <w:ind w:left="374"/>
        <w:jc w:val="right"/>
        <w:rPr>
          <w:rStyle w:val="C3"/>
          <w:rFonts w:ascii="Courier New" w:hAnsi="Courier New"/>
        </w:rPr>
      </w:pPr>
      <w:r>
        <w:rPr>
          <w:rStyle w:val="C3"/>
          <w:rFonts w:ascii="Courier New" w:hAnsi="Courier New"/>
        </w:rPr>
        <w:t>...///</w:t>
      </w:r>
    </w:p>
    <w:p>
      <w:pPr>
        <w:ind w:left="374"/>
        <w:jc w:val="right"/>
        <w:rPr>
          <w:rStyle w:val="C3"/>
          <w:rFonts w:ascii="Courier New" w:hAnsi="Courier New"/>
        </w:rPr>
      </w:pPr>
    </w:p>
    <w:p>
      <w:pPr>
        <w:ind w:left="374"/>
        <w:jc w:val="right"/>
        <w:rPr>
          <w:rStyle w:val="C3"/>
          <w:rFonts w:ascii="Courier New" w:hAnsi="Courier New"/>
        </w:rPr>
      </w:pPr>
    </w:p>
    <w:p>
      <w:pPr>
        <w:ind w:left="374"/>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 xml:space="preserve"> “Año del Cincuentenario de la Asociación y del Cuerpo de Bomberos Voluntarios de la Ciudad”</w:t>
      </w:r>
    </w:p>
    <w:p>
      <w:pPr>
        <w:ind w:left="374"/>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left="374"/>
        <w:jc w:val="right"/>
        <w:rPr>
          <w:rStyle w:val="C3"/>
          <w:rFonts w:ascii="Courier New" w:hAnsi="Courier New"/>
        </w:rPr>
      </w:pPr>
    </w:p>
    <w:p>
      <w:pPr>
        <w:ind w:left="374"/>
        <w:jc w:val="both"/>
        <w:rPr>
          <w:rStyle w:val="C3"/>
          <w:rFonts w:ascii="Courier New" w:hAnsi="Courier New"/>
        </w:rPr>
      </w:pPr>
      <w:r>
        <w:rPr>
          <w:rStyle w:val="C3"/>
          <w:rFonts w:ascii="Courier New" w:hAnsi="Courier New"/>
        </w:rPr>
        <w:t>Que teniendo en cuenta que se trata de una Comisión Municipal se ve la necesidad de incluir con mayor presencia al Estado Municipal, por lo que se incorpora un Consejo Consultivo que tendrá una activa participación en respaldo y apoyo a la realización de un evento tan significativo para nuestra Ciudad;</w:t>
      </w:r>
    </w:p>
    <w:p>
      <w:pPr>
        <w:ind w:left="374"/>
        <w:jc w:val="right"/>
        <w:rPr>
          <w:rStyle w:val="C3"/>
          <w:rFonts w:ascii="Courier New" w:hAnsi="Courier New"/>
        </w:rPr>
      </w:pPr>
    </w:p>
    <w:p>
      <w:pPr>
        <w:ind w:left="374"/>
        <w:jc w:val="both"/>
        <w:rPr>
          <w:rStyle w:val="C3"/>
          <w:rFonts w:ascii="Courier New" w:hAnsi="Courier New"/>
        </w:rPr>
      </w:pPr>
      <w:r>
        <w:rPr>
          <w:rStyle w:val="C3"/>
          <w:rFonts w:ascii="Courier New" w:hAnsi="Courier New"/>
        </w:rPr>
        <w:t>Que analizado Proyecto de Ordenanza por el Concejo en Comisión, el mismo emite despacho favorable, aprobado por Unanimidad en Sesión Ordinaria del día 07 de Octubre de 2009;</w:t>
      </w:r>
    </w:p>
    <w:p>
      <w:pPr>
        <w:pStyle w:val="P12"/>
        <w:ind w:left="561"/>
        <w:rPr>
          <w:rStyle w:val="C3"/>
        </w:rPr>
      </w:pPr>
    </w:p>
    <w:p>
      <w:pPr>
        <w:pStyle w:val="P12"/>
        <w:ind w:left="561"/>
        <w:rPr>
          <w:rStyle w:val="C3"/>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jc w:val="both"/>
        <w:rPr>
          <w:rStyle w:val="C3"/>
          <w:rFonts w:ascii="Courier New" w:hAnsi="Courier New"/>
          <w:b w:val="1"/>
          <w:u w:val="single"/>
        </w:rPr>
      </w:pPr>
    </w:p>
    <w:p>
      <w:pPr>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RECTIFICACIÓN: </w:t>
      </w:r>
      <w:r>
        <w:rPr>
          <w:rStyle w:val="C3"/>
          <w:rFonts w:ascii="Courier New" w:hAnsi="Courier New"/>
        </w:rPr>
        <w:t>Aclárese que, en los considerandos de la Ordenanza N° 7810, donde dice “Que existe la Ordenanza N° 2117”, deberá decir “Que existe la Ordenanza N° 2127”.-</w:t>
      </w:r>
    </w:p>
    <w:p>
      <w:pPr>
        <w:jc w:val="both"/>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Art.2</w:t>
      </w:r>
      <w:r>
        <w:rPr>
          <w:rStyle w:val="C3"/>
          <w:rFonts w:ascii="Courier New" w:hAnsi="Courier New"/>
          <w:b w:val="1"/>
        </w:rPr>
        <w:t>: MODIFÍCASE</w:t>
      </w:r>
      <w:r>
        <w:rPr>
          <w:rStyle w:val="C3"/>
          <w:rFonts w:ascii="Courier New" w:hAnsi="Courier New"/>
        </w:rPr>
        <w:t xml:space="preserve"> el Artículo 4° de la Ordenanza N° 7810, el que quedará redactada de la siguiente manera:</w:t>
      </w:r>
    </w:p>
    <w:p>
      <w:pPr>
        <w:ind w:left="374"/>
        <w:jc w:val="both"/>
        <w:rPr>
          <w:rStyle w:val="C3"/>
          <w:rFonts w:ascii="Courier New" w:hAnsi="Courier New"/>
        </w:rPr>
      </w:pPr>
      <w:r>
        <w:rPr>
          <w:rStyle w:val="C3"/>
          <w:rFonts w:ascii="Courier New" w:hAnsi="Courier New"/>
        </w:rPr>
        <w:t xml:space="preserve">“Art.4.- La Comisión Ejecutiva Organizadora se renovará anualmente en un CINCUENTA POR CIENTO (50%) de sus miembros. Quienes ocupen el cargo de Presidente o Vicepresidente sólo podrán ser reelectos por un período consecutivo. El Presidente,  Vicepresidente, Tesorero y Pro Tesorero  deben presentar declaración Jurada de Bienes. Todos los miembros de la Comisión se desempeñarán en sus cargos ad honorem. Las decisiones adoptadas por la Comisión no pueden ser modificadas por ninguno de sus miembros, ni siquiera por el Presidente”.</w:t>
      </w:r>
    </w:p>
    <w:p>
      <w:pPr>
        <w:jc w:val="both"/>
        <w:rPr>
          <w:rStyle w:val="C3"/>
          <w:rFonts w:ascii="Courier New" w:hAnsi="Courier New"/>
          <w:b w:val="1"/>
        </w:rPr>
      </w:pPr>
    </w:p>
    <w:p>
      <w:pPr>
        <w:jc w:val="both"/>
        <w:rPr>
          <w:rStyle w:val="C3"/>
          <w:rFonts w:ascii="Courier New" w:hAnsi="Courier New"/>
        </w:rPr>
      </w:pPr>
      <w:r>
        <w:rPr>
          <w:rStyle w:val="C3"/>
          <w:rFonts w:ascii="Courier New" w:hAnsi="Courier New"/>
          <w:b w:val="1"/>
          <w:u w:val="single"/>
        </w:rPr>
        <w:t>Art.3</w:t>
      </w:r>
      <w:r>
        <w:rPr>
          <w:rStyle w:val="C3"/>
          <w:rFonts w:ascii="Courier New" w:hAnsi="Courier New"/>
          <w:b w:val="1"/>
        </w:rPr>
        <w:t>: INCORPÓRESE</w:t>
      </w:r>
      <w:r>
        <w:rPr>
          <w:rStyle w:val="C3"/>
          <w:rFonts w:ascii="Courier New" w:hAnsi="Courier New"/>
        </w:rPr>
        <w:t xml:space="preserve"> como Artículo 4° bis el siguiente:</w:t>
      </w:r>
    </w:p>
    <w:p>
      <w:pPr>
        <w:ind w:left="374"/>
        <w:jc w:val="both"/>
        <w:rPr>
          <w:rStyle w:val="C3"/>
          <w:rFonts w:ascii="Courier New" w:hAnsi="Courier New"/>
        </w:rPr>
      </w:pPr>
      <w:r>
        <w:rPr>
          <w:rStyle w:val="C3"/>
          <w:rFonts w:ascii="Courier New" w:hAnsi="Courier New"/>
        </w:rPr>
        <w:t>“Art.4° bis. - Inhabilidades, Incompatibilidades y prohibiciones.</w:t>
      </w:r>
    </w:p>
    <w:p>
      <w:pPr>
        <w:ind w:left="374"/>
        <w:jc w:val="right"/>
        <w:rPr>
          <w:rStyle w:val="C3"/>
          <w:rFonts w:ascii="Courier New" w:hAnsi="Courier New"/>
        </w:rPr>
      </w:pPr>
      <w:r>
        <w:rPr>
          <w:rStyle w:val="C3"/>
          <w:rFonts w:ascii="Courier New" w:hAnsi="Courier New"/>
        </w:rPr>
        <w:t>...///</w:t>
      </w:r>
    </w:p>
    <w:p>
      <w:pPr>
        <w:ind w:left="374"/>
        <w:jc w:val="both"/>
        <w:rPr>
          <w:rStyle w:val="C3"/>
          <w:rFonts w:ascii="Courier New" w:hAnsi="Courier New"/>
        </w:rPr>
      </w:pPr>
    </w:p>
    <w:p>
      <w:pPr>
        <w:ind w:left="374"/>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374"/>
        <w:jc w:val="both"/>
        <w:rPr>
          <w:rStyle w:val="C3"/>
          <w:rFonts w:ascii="Courier New" w:hAnsi="Courier New"/>
        </w:rPr>
      </w:pPr>
    </w:p>
    <w:p>
      <w:pPr>
        <w:jc w:val="both"/>
        <w:rPr>
          <w:rStyle w:val="C3"/>
          <w:rFonts w:ascii="Courier New" w:hAnsi="Courier New"/>
        </w:rPr>
      </w:pPr>
      <w:r>
        <w:rPr>
          <w:rStyle w:val="C3"/>
          <w:rFonts w:ascii="Courier New" w:hAnsi="Courier New"/>
        </w:rPr>
        <w:t>...///3.-</w:t>
      </w:r>
    </w:p>
    <w:p>
      <w:pPr>
        <w:ind w:left="374"/>
        <w:jc w:val="both"/>
        <w:rPr>
          <w:rStyle w:val="C3"/>
          <w:rFonts w:ascii="Courier New" w:hAnsi="Courier New"/>
        </w:rPr>
      </w:pPr>
    </w:p>
    <w:p>
      <w:pPr>
        <w:ind w:left="374"/>
        <w:jc w:val="both"/>
        <w:rPr>
          <w:rStyle w:val="C3"/>
          <w:rFonts w:ascii="Courier New" w:hAnsi="Courier New"/>
        </w:rPr>
      </w:pPr>
      <w:r>
        <w:rPr>
          <w:rStyle w:val="C3"/>
          <w:rFonts w:ascii="Courier New" w:hAnsi="Courier New"/>
          <w:u w:val="single"/>
        </w:rPr>
        <w:t>Inc.1:</w:t>
      </w:r>
      <w:r>
        <w:rPr>
          <w:rStyle w:val="C3"/>
          <w:rFonts w:ascii="Courier New" w:hAnsi="Courier New"/>
        </w:rPr>
        <w:t xml:space="preserve"> Inhabilidades: Rigen para los miembros de la Comisión las mismas inhabilidades que las establecidas por la Carta Orgánica Municipal para los Concejales, con excepción del inciso 1°.</w:t>
      </w:r>
    </w:p>
    <w:p>
      <w:pPr>
        <w:ind w:left="374"/>
        <w:jc w:val="both"/>
        <w:rPr>
          <w:rStyle w:val="C3"/>
          <w:rFonts w:ascii="Courier New" w:hAnsi="Courier New"/>
        </w:rPr>
      </w:pPr>
      <w:r>
        <w:rPr>
          <w:rStyle w:val="C3"/>
          <w:rFonts w:ascii="Courier New" w:hAnsi="Courier New"/>
          <w:u w:val="single"/>
        </w:rPr>
        <w:t>Inc.2:</w:t>
      </w:r>
      <w:r>
        <w:rPr>
          <w:rStyle w:val="C3"/>
          <w:rFonts w:ascii="Courier New" w:hAnsi="Courier New"/>
        </w:rPr>
        <w:t xml:space="preserve"> Incompatibilidades: Los cargos de Presidente, Vicepresidente, Tesorero y Pro Tesorero no podrán ser integrados por personal del Estado Municipal, ya sean de planta permanente, política o  contratado.</w:t>
      </w:r>
    </w:p>
    <w:p>
      <w:pPr>
        <w:ind w:left="374"/>
        <w:jc w:val="both"/>
        <w:rPr>
          <w:rStyle w:val="C3"/>
          <w:rFonts w:ascii="Courier New" w:hAnsi="Courier New"/>
        </w:rPr>
      </w:pPr>
      <w:r>
        <w:rPr>
          <w:rStyle w:val="C3"/>
          <w:rFonts w:ascii="Courier New" w:hAnsi="Courier New"/>
        </w:rPr>
        <w:t>No podrán ser parte de la Comisión quienes sean propietarios, ejerzan funciones directivas o de representación en empresas vinculadas con la misma Comisión o con el Municipio, por contrato o permiso. Esta incompatibilidad no comprende a los socios de las sociedades por acciones o cooperativas, en la medida que no exista colisión con los intereses de la Comisión y/o del Estado Municipal.</w:t>
      </w:r>
    </w:p>
    <w:p>
      <w:pPr>
        <w:ind w:left="374"/>
        <w:jc w:val="both"/>
        <w:rPr>
          <w:rStyle w:val="C3"/>
          <w:rFonts w:ascii="Courier New" w:hAnsi="Courier New"/>
        </w:rPr>
      </w:pPr>
      <w:r>
        <w:rPr>
          <w:rStyle w:val="C3"/>
          <w:rFonts w:ascii="Courier New" w:hAnsi="Courier New"/>
          <w:u w:val="single"/>
        </w:rPr>
        <w:t>Inc.3:</w:t>
      </w:r>
      <w:r>
        <w:rPr>
          <w:rStyle w:val="C3"/>
          <w:rFonts w:ascii="Courier New" w:hAnsi="Courier New"/>
        </w:rPr>
        <w:t xml:space="preserve"> Prohibiciones: Ningún miembro de la Comisión  puede actuar en causas de contenido Patrimonial o Administrativo en contra del Estado Municipal o de la Comisión, con excepción de los casos en que fuera por derecho propio o en representación de su cónyuge, hijo menor o incapaz a cargo. No podrán, tampoco, contratar con la Comisión a título personal o como propietario, director o cargo equivalente o en representación de empresa alguna”.</w:t>
      </w:r>
    </w:p>
    <w:p>
      <w:pPr>
        <w:jc w:val="both"/>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Art.4</w:t>
      </w:r>
      <w:r>
        <w:rPr>
          <w:rStyle w:val="C3"/>
          <w:rFonts w:ascii="Courier New" w:hAnsi="Courier New"/>
          <w:b w:val="1"/>
        </w:rPr>
        <w:t xml:space="preserve">: MODIFÍCASE </w:t>
      </w:r>
      <w:r>
        <w:rPr>
          <w:rStyle w:val="C3"/>
          <w:rFonts w:ascii="Courier New" w:hAnsi="Courier New"/>
        </w:rPr>
        <w:t>el inciso b) del Artículo 5°, el cual quedará redactado de la siguiente forma:</w:t>
      </w:r>
    </w:p>
    <w:p>
      <w:pPr>
        <w:ind w:hanging="374" w:left="374"/>
        <w:jc w:val="both"/>
        <w:rPr>
          <w:rStyle w:val="C3"/>
          <w:rFonts w:ascii="Courier New" w:hAnsi="Courier New"/>
        </w:rPr>
      </w:pPr>
      <w:r>
        <w:rPr>
          <w:rStyle w:val="C3"/>
          <w:rFonts w:ascii="Courier New" w:hAnsi="Courier New"/>
        </w:rPr>
        <w:t xml:space="preserve">   “b) Planificar, organizar, coordinar, supervisar y administrar la realización de eventos artísticos, culturales y turísticos que se programen en las áreas que se encontraren bajo responsabilidad de la Comisión Municipal”.</w:t>
      </w:r>
    </w:p>
    <w:p>
      <w:pPr>
        <w:jc w:val="both"/>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Art.5</w:t>
      </w:r>
      <w:r>
        <w:rPr>
          <w:rStyle w:val="C3"/>
          <w:rFonts w:ascii="Courier New" w:hAnsi="Courier New"/>
          <w:b w:val="1"/>
        </w:rPr>
        <w:t xml:space="preserve">: MODIFÍCASE </w:t>
      </w:r>
      <w:r>
        <w:rPr>
          <w:rStyle w:val="C3"/>
          <w:rFonts w:ascii="Courier New" w:hAnsi="Courier New"/>
        </w:rPr>
        <w:t>el inciso 3 del Artículo 6° de la Ordenanza N° 7810, el que quedará redactado de la siguiente manera:</w:t>
      </w:r>
    </w:p>
    <w:p>
      <w:pPr>
        <w:ind w:hanging="374" w:left="374"/>
        <w:jc w:val="right"/>
        <w:rPr>
          <w:rStyle w:val="C3"/>
          <w:rFonts w:ascii="Courier New" w:hAnsi="Courier New"/>
        </w:rPr>
      </w:pPr>
      <w:r>
        <w:rPr>
          <w:rStyle w:val="C3"/>
          <w:rFonts w:ascii="Courier New" w:hAnsi="Courier New"/>
        </w:rPr>
        <w:t>...///</w:t>
      </w:r>
    </w:p>
    <w:p>
      <w:pPr>
        <w:ind w:hanging="374" w:left="374"/>
        <w:jc w:val="both"/>
        <w:rPr>
          <w:rStyle w:val="C3"/>
          <w:rFonts w:ascii="Courier New" w:hAnsi="Courier New"/>
        </w:rPr>
      </w:pPr>
    </w:p>
    <w:p>
      <w:pPr>
        <w:ind w:hanging="374" w:left="374"/>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374"/>
        <w:jc w:val="both"/>
        <w:rPr>
          <w:rStyle w:val="C3"/>
          <w:rFonts w:ascii="Courier New" w:hAnsi="Courier New"/>
        </w:rPr>
      </w:pPr>
    </w:p>
    <w:p>
      <w:pPr>
        <w:jc w:val="both"/>
        <w:rPr>
          <w:rStyle w:val="C3"/>
          <w:rFonts w:ascii="Courier New" w:hAnsi="Courier New"/>
        </w:rPr>
      </w:pPr>
      <w:r>
        <w:rPr>
          <w:rStyle w:val="C3"/>
          <w:rFonts w:ascii="Courier New" w:hAnsi="Courier New"/>
        </w:rPr>
        <w:t>...///4.-</w:t>
      </w:r>
    </w:p>
    <w:p>
      <w:pPr>
        <w:ind w:hanging="374" w:left="374"/>
        <w:jc w:val="both"/>
        <w:rPr>
          <w:rStyle w:val="C3"/>
          <w:rFonts w:ascii="Courier New" w:hAnsi="Courier New"/>
        </w:rPr>
      </w:pPr>
    </w:p>
    <w:p>
      <w:pPr>
        <w:pStyle w:val="P11"/>
        <w:ind w:hanging="374" w:left="374"/>
      </w:pPr>
      <w:r>
        <w:t xml:space="preserve">  “3. Presentar al Departamento Ejecutivo para su conocimiento, antes del VEINTE (20) de Noviembre de cada año, el proyecto del Presupuesto General de Gastos y Recursos y Plan Anual de Actividades para el siguiente ejercicio, quien deberá elevarlo al   Honorable Concejo Deliberante para su aprobación, en un plazo no mayor a 5 días, debiendo ser tratado dentro de los SIETE (7) días de su ingreso legislativo.-</w:t>
      </w:r>
    </w:p>
    <w:p>
      <w:pPr>
        <w:jc w:val="both"/>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Art.6</w:t>
      </w:r>
      <w:r>
        <w:rPr>
          <w:rStyle w:val="C3"/>
          <w:rFonts w:ascii="Courier New" w:hAnsi="Courier New"/>
          <w:b w:val="1"/>
        </w:rPr>
        <w:t xml:space="preserve">: DERÓGASE </w:t>
      </w:r>
      <w:r>
        <w:rPr>
          <w:rStyle w:val="C3"/>
          <w:rFonts w:ascii="Courier New" w:hAnsi="Courier New"/>
        </w:rPr>
        <w:t>el inciso 7 del Artículo 6° de la Ordenanza N° 7810.-</w:t>
      </w:r>
    </w:p>
    <w:p>
      <w:pPr>
        <w:jc w:val="both"/>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Art.7</w:t>
      </w:r>
      <w:r>
        <w:rPr>
          <w:rStyle w:val="C3"/>
          <w:rFonts w:ascii="Courier New" w:hAnsi="Courier New"/>
          <w:b w:val="1"/>
        </w:rPr>
        <w:t xml:space="preserve">: MODIFÍCASE </w:t>
      </w:r>
      <w:r>
        <w:rPr>
          <w:rStyle w:val="C3"/>
          <w:rFonts w:ascii="Courier New" w:hAnsi="Courier New"/>
        </w:rPr>
        <w:t xml:space="preserve">el inciso 10 del Artículo 6°, el que  quedará redactado de la siguiente manera: </w:t>
      </w:r>
    </w:p>
    <w:p>
      <w:pPr>
        <w:ind w:left="374"/>
        <w:jc w:val="both"/>
        <w:rPr>
          <w:rStyle w:val="C3"/>
          <w:rFonts w:ascii="Courier New" w:hAnsi="Courier New"/>
        </w:rPr>
      </w:pPr>
      <w:r>
        <w:rPr>
          <w:rStyle w:val="C3"/>
          <w:rFonts w:ascii="Courier New" w:hAnsi="Courier New"/>
        </w:rPr>
        <w:t>“10. Podrá nombrar personal transitorio para la realización de trabajos determinados y temporarios y contratar directamente profesionales, técnicos y auxiliares para tareas transitorias, conforme a la autorización presupuestaria pertinente”.-</w:t>
      </w:r>
    </w:p>
    <w:p>
      <w:pPr>
        <w:jc w:val="both"/>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Art.8</w:t>
      </w:r>
      <w:r>
        <w:rPr>
          <w:rStyle w:val="C3"/>
          <w:rFonts w:ascii="Courier New" w:hAnsi="Courier New"/>
          <w:b w:val="1"/>
        </w:rPr>
        <w:t xml:space="preserve">: SUSTITÚYASE </w:t>
      </w:r>
      <w:r>
        <w:rPr>
          <w:rStyle w:val="C3"/>
          <w:rFonts w:ascii="Courier New" w:hAnsi="Courier New"/>
        </w:rPr>
        <w:t>el Artículo 10° de la Ordenanza N° 7810, por el siguiente:</w:t>
      </w:r>
    </w:p>
    <w:p>
      <w:pPr>
        <w:ind w:left="374"/>
        <w:jc w:val="both"/>
        <w:rPr>
          <w:rStyle w:val="C3"/>
          <w:rFonts w:ascii="Courier New" w:hAnsi="Courier New"/>
        </w:rPr>
      </w:pPr>
      <w:r>
        <w:rPr>
          <w:rStyle w:val="C3"/>
          <w:rFonts w:ascii="Courier New" w:hAnsi="Courier New"/>
        </w:rPr>
        <w:t>“Art.10: CRÉASE el Consejo Consultivo de la Comisión Municipal del Encuentro Anual de Colectividades, el que estará integrado por dos miembros del Departamento Ejecutivo, dos miembros del bloque de la mayoría y un miembro por cada bloque minoritario del Honorable Concejo Deliberante, quienes podrán asistir a todas las reuniones de la Comisión Municipal del Encuentro Anual de Colectividades y/o a sus dependencias administrativas en carácter de veedores. Serán convocados en la misma ocasión en que se realiza la integración de la Comisión. Duran un año en su función”.-</w:t>
      </w:r>
    </w:p>
    <w:p>
      <w:pPr>
        <w:jc w:val="both"/>
        <w:rPr>
          <w:rStyle w:val="C3"/>
          <w:rFonts w:ascii="Courier New" w:hAnsi="Courier New"/>
          <w:b w:val="1"/>
        </w:rPr>
      </w:pPr>
    </w:p>
    <w:p>
      <w:pPr>
        <w:jc w:val="both"/>
        <w:rPr>
          <w:rStyle w:val="C3"/>
          <w:rFonts w:ascii="Courier New" w:hAnsi="Courier New"/>
        </w:rPr>
      </w:pPr>
      <w:r>
        <w:rPr>
          <w:rStyle w:val="C3"/>
          <w:rFonts w:ascii="Courier New" w:hAnsi="Courier New"/>
          <w:b w:val="1"/>
          <w:u w:val="single"/>
        </w:rPr>
        <w:t>Art.9</w:t>
      </w:r>
      <w:r>
        <w:rPr>
          <w:rStyle w:val="C3"/>
          <w:rFonts w:ascii="Courier New" w:hAnsi="Courier New"/>
          <w:b w:val="1"/>
        </w:rPr>
        <w:t xml:space="preserve">: INCORPÓRESE </w:t>
      </w:r>
      <w:r>
        <w:rPr>
          <w:rStyle w:val="C3"/>
          <w:rFonts w:ascii="Courier New" w:hAnsi="Courier New"/>
        </w:rPr>
        <w:t>como Artículo 10° bis el siguiente:</w:t>
      </w:r>
    </w:p>
    <w:p>
      <w:pPr>
        <w:ind w:hanging="374" w:left="374"/>
        <w:jc w:val="both"/>
        <w:rPr>
          <w:rStyle w:val="C3"/>
          <w:rFonts w:ascii="Courier New" w:hAnsi="Courier New"/>
        </w:rPr>
      </w:pPr>
      <w:r>
        <w:rPr>
          <w:rStyle w:val="C3"/>
          <w:rFonts w:ascii="Courier New" w:hAnsi="Courier New"/>
        </w:rPr>
        <w:t xml:space="preserve">   “Art.10 bis.- Será atribución del Consejo Consultivo de la Comisión Municipal del Encuentro Anual de Colectividades decidir el destino de hasta el CINCUENTA PORCIENTO  (50%)  de  los  fondos  excedentes,  si  los </w:t>
      </w:r>
    </w:p>
    <w:p>
      <w:pPr>
        <w:ind w:hanging="374" w:left="374"/>
        <w:jc w:val="right"/>
        <w:rPr>
          <w:rStyle w:val="C3"/>
          <w:rFonts w:ascii="Courier New" w:hAnsi="Courier New"/>
        </w:rPr>
      </w:pPr>
      <w:r>
        <w:rPr>
          <w:rStyle w:val="C3"/>
          <w:rFonts w:ascii="Courier New" w:hAnsi="Courier New"/>
        </w:rPr>
        <w:t>...///</w:t>
      </w:r>
    </w:p>
    <w:p>
      <w:pPr>
        <w:ind w:hanging="374" w:left="374"/>
        <w:jc w:val="both"/>
        <w:rPr>
          <w:rStyle w:val="C3"/>
          <w:rFonts w:ascii="Courier New" w:hAnsi="Courier New"/>
        </w:rPr>
      </w:pPr>
    </w:p>
    <w:p>
      <w:pPr>
        <w:ind w:hanging="374" w:left="374"/>
        <w:jc w:val="both"/>
        <w:rPr>
          <w:rStyle w:val="C3"/>
          <w:rFonts w:ascii="Courier New" w:hAnsi="Courier New"/>
        </w:rPr>
      </w:pPr>
    </w:p>
    <w:p>
      <w:pPr>
        <w:ind w:hanging="374" w:left="374"/>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374"/>
        <w:jc w:val="both"/>
        <w:rPr>
          <w:rStyle w:val="C3"/>
          <w:rFonts w:ascii="Courier New" w:hAnsi="Courier New"/>
        </w:rPr>
      </w:pPr>
    </w:p>
    <w:p>
      <w:pPr>
        <w:jc w:val="both"/>
        <w:rPr>
          <w:rStyle w:val="C3"/>
          <w:rFonts w:ascii="Courier New" w:hAnsi="Courier New"/>
        </w:rPr>
      </w:pPr>
      <w:r>
        <w:rPr>
          <w:rStyle w:val="C3"/>
          <w:rFonts w:ascii="Courier New" w:hAnsi="Courier New"/>
        </w:rPr>
        <w:t>...///5.-</w:t>
      </w:r>
    </w:p>
    <w:p>
      <w:pPr>
        <w:ind w:left="374"/>
        <w:jc w:val="both"/>
        <w:rPr>
          <w:rStyle w:val="C3"/>
          <w:rFonts w:ascii="Courier New" w:hAnsi="Courier New"/>
        </w:rPr>
      </w:pPr>
    </w:p>
    <w:p>
      <w:pPr>
        <w:ind w:left="374"/>
        <w:jc w:val="both"/>
        <w:rPr>
          <w:rStyle w:val="C3"/>
          <w:rFonts w:ascii="Courier New" w:hAnsi="Courier New"/>
        </w:rPr>
      </w:pPr>
      <w:r>
        <w:rPr>
          <w:rStyle w:val="C3"/>
          <w:rFonts w:ascii="Courier New" w:hAnsi="Courier New"/>
        </w:rPr>
        <w:t>hubiere. Para dicha decisión el Consejo Consultivo se integrará además con dos miembros designados por la Comisión Municipal del Encuentro Anual de Colectividades. El excedente de hasta el CINCUENTA POR CIENTO (50%) deberá destinarse a actividades de bien público”.-</w:t>
      </w:r>
    </w:p>
    <w:p>
      <w:pPr>
        <w:ind w:hanging="374" w:left="374"/>
        <w:jc w:val="both"/>
        <w:rPr>
          <w:rStyle w:val="C3"/>
          <w:rFonts w:ascii="Courier New" w:hAnsi="Courier New"/>
          <w:b w:val="1"/>
          <w:u w:val="single"/>
        </w:rPr>
      </w:pPr>
    </w:p>
    <w:p>
      <w:pPr>
        <w:ind w:hanging="374" w:left="374"/>
        <w:jc w:val="both"/>
        <w:rPr>
          <w:rStyle w:val="C3"/>
          <w:rFonts w:ascii="Courier New" w:hAnsi="Courier New"/>
          <w:b w:val="1"/>
        </w:rPr>
      </w:pPr>
      <w:r>
        <w:rPr>
          <w:rStyle w:val="C3"/>
          <w:rFonts w:ascii="Courier New" w:hAnsi="Courier New"/>
          <w:b w:val="1"/>
          <w:u w:val="single"/>
        </w:rPr>
        <w:t>Art.10</w:t>
      </w:r>
      <w:r>
        <w:rPr>
          <w:rStyle w:val="C3"/>
          <w:rFonts w:ascii="Courier New" w:hAnsi="Courier New"/>
          <w:b w:val="1"/>
        </w:rPr>
        <w:t xml:space="preserve">: PROTOCOLICESE, </w:t>
      </w:r>
      <w:r>
        <w:rPr>
          <w:rStyle w:val="C3"/>
          <w:rFonts w:ascii="Courier New" w:hAnsi="Courier New"/>
        </w:rPr>
        <w:t>comuníquese, publíquese en 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jc w:val="both"/>
        <w:rPr>
          <w:rStyle w:val="C3"/>
          <w:rFonts w:ascii="Courier New" w:hAnsi="Courier New"/>
        </w:rPr>
      </w:pPr>
    </w:p>
    <w:p>
      <w:pPr>
        <w:pStyle w:val="P17"/>
      </w:pPr>
      <w:r>
        <w:t xml:space="preserve">DADA EN LA SALA DE SESIONES DEL HONORABLE CONCEJO DELIBERANTE A LOS SIETE DÍAS DEL MES DE OCTUBRE DEL AÑO DOS MIL NUEVE.- </w:t>
      </w:r>
    </w:p>
    <w:sectPr>
      <w:type w:val="nextPage"/>
      <w:pgSz w:w="11906" w:h="16838" w:code="0"/>
      <w:pgMar w:left="1701" w:right="1701" w:top="1418" w:bottom="1418" w:header="720" w:footer="720"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
    <w:nsid w:val="4C661CEC"/>
    <w:multiLevelType w:val="hybridMultilevel"/>
    <w:lvl w:ilvl="0" w:tplc="16516CD8">
      <w:start w:val="2"/>
      <w:numFmt w:val="bullet"/>
      <w:suff w:val="tab"/>
      <w:lvlText w:val="-"/>
      <w:lvlJc w:val="left"/>
      <w:pPr>
        <w:ind w:hanging="360" w:left="1080"/>
        <w:tabs>
          <w:tab w:val="left" w:pos="1080" w:leader="none"/>
        </w:tabs>
      </w:pPr>
      <w:rPr>
        <w:rFonts w:ascii="Courier New" w:hAnsi="Courier New"/>
      </w:rPr>
    </w:lvl>
    <w:lvl w:ilvl="1" w:tplc="2E8F02FD">
      <w:start w:val="1"/>
      <w:numFmt w:val="bullet"/>
      <w:suff w:val="tab"/>
      <w:lvlText w:val="o"/>
      <w:lvlJc w:val="left"/>
      <w:pPr>
        <w:ind w:hanging="360" w:left="1800"/>
        <w:tabs>
          <w:tab w:val="left" w:pos="1800" w:leader="none"/>
        </w:tabs>
      </w:pPr>
      <w:rPr>
        <w:rFonts w:ascii="Courier New" w:hAnsi="Courier New"/>
      </w:rPr>
    </w:lvl>
    <w:lvl w:ilvl="2" w:tplc="329D7AD0">
      <w:start w:val="1"/>
      <w:numFmt w:val="bullet"/>
      <w:suff w:val="tab"/>
      <w:lvlText w:val=""/>
      <w:lvlJc w:val="left"/>
      <w:pPr>
        <w:ind w:hanging="360" w:left="2520"/>
        <w:tabs>
          <w:tab w:val="left" w:pos="2520" w:leader="none"/>
        </w:tabs>
      </w:pPr>
      <w:rPr>
        <w:rFonts w:ascii="Wingdings" w:hAnsi="Wingdings"/>
      </w:rPr>
    </w:lvl>
    <w:lvl w:ilvl="3" w:tplc="1367519A">
      <w:start w:val="1"/>
      <w:numFmt w:val="bullet"/>
      <w:suff w:val="tab"/>
      <w:lvlText w:val=""/>
      <w:lvlJc w:val="left"/>
      <w:pPr>
        <w:ind w:hanging="360" w:left="3240"/>
        <w:tabs>
          <w:tab w:val="left" w:pos="3240" w:leader="none"/>
        </w:tabs>
      </w:pPr>
      <w:rPr>
        <w:rFonts w:ascii="Symbol" w:hAnsi="Symbol"/>
      </w:rPr>
    </w:lvl>
    <w:lvl w:ilvl="4" w:tplc="410DECFD">
      <w:start w:val="1"/>
      <w:numFmt w:val="bullet"/>
      <w:suff w:val="tab"/>
      <w:lvlText w:val="o"/>
      <w:lvlJc w:val="left"/>
      <w:pPr>
        <w:ind w:hanging="360" w:left="3960"/>
        <w:tabs>
          <w:tab w:val="left" w:pos="3960" w:leader="none"/>
        </w:tabs>
      </w:pPr>
      <w:rPr>
        <w:rFonts w:ascii="Courier New" w:hAnsi="Courier New"/>
      </w:rPr>
    </w:lvl>
    <w:lvl w:ilvl="5" w:tplc="3C4CCC5C">
      <w:start w:val="1"/>
      <w:numFmt w:val="bullet"/>
      <w:suff w:val="tab"/>
      <w:lvlText w:val=""/>
      <w:lvlJc w:val="left"/>
      <w:pPr>
        <w:ind w:hanging="360" w:left="4680"/>
        <w:tabs>
          <w:tab w:val="left" w:pos="4680" w:leader="none"/>
        </w:tabs>
      </w:pPr>
      <w:rPr>
        <w:rFonts w:ascii="Wingdings" w:hAnsi="Wingdings"/>
      </w:rPr>
    </w:lvl>
    <w:lvl w:ilvl="6" w:tplc="096AC720">
      <w:start w:val="1"/>
      <w:numFmt w:val="bullet"/>
      <w:suff w:val="tab"/>
      <w:lvlText w:val=""/>
      <w:lvlJc w:val="left"/>
      <w:pPr>
        <w:ind w:hanging="360" w:left="5400"/>
        <w:tabs>
          <w:tab w:val="left" w:pos="5400" w:leader="none"/>
        </w:tabs>
      </w:pPr>
      <w:rPr>
        <w:rFonts w:ascii="Symbol" w:hAnsi="Symbol"/>
      </w:rPr>
    </w:lvl>
    <w:lvl w:ilvl="7" w:tplc="04DABF8D">
      <w:start w:val="1"/>
      <w:numFmt w:val="bullet"/>
      <w:suff w:val="tab"/>
      <w:lvlText w:val="o"/>
      <w:lvlJc w:val="left"/>
      <w:pPr>
        <w:ind w:hanging="360" w:left="6120"/>
        <w:tabs>
          <w:tab w:val="left" w:pos="6120" w:leader="none"/>
        </w:tabs>
      </w:pPr>
      <w:rPr>
        <w:rFonts w:ascii="Courier New" w:hAnsi="Courier New"/>
      </w:rPr>
    </w:lvl>
    <w:lvl w:ilvl="8" w:tplc="73F82180">
      <w:start w:val="1"/>
      <w:numFmt w:val="bullet"/>
      <w:suff w:val="tab"/>
      <w:lvlText w:val=""/>
      <w:lvlJc w:val="left"/>
      <w:pPr>
        <w:ind w:hanging="360" w:left="6840"/>
        <w:tabs>
          <w:tab w:val="left" w:pos="6840" w:leader="none"/>
        </w:tabs>
      </w:pPr>
      <w:rPr>
        <w:rFonts w:ascii="Wingdings" w:hAnsi="Wingdings"/>
      </w:rPr>
    </w:lvl>
  </w:abstractNum>
  <w:abstractNum w:abstractNumId="7">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3"/>
  </w:num>
  <w:num w:numId="2">
    <w:abstractNumId w:val="9"/>
  </w:num>
  <w:num w:numId="3">
    <w:abstractNumId w:val="1"/>
  </w:num>
  <w:num w:numId="4">
    <w:abstractNumId w:val="2"/>
  </w:num>
  <w:num w:numId="5">
    <w:abstractNumId w:val="12"/>
  </w:num>
  <w:num w:numId="6">
    <w:abstractNumId w:val="13"/>
  </w:num>
  <w:num w:numId="7">
    <w:abstractNumId w:val="8"/>
  </w:num>
  <w:num w:numId="8">
    <w:abstractNumId w:val="6"/>
  </w:num>
  <w:num w:numId="9">
    <w:abstractNumId w:val="11"/>
  </w:num>
  <w:num w:numId="10">
    <w:abstractNumId w:val="14"/>
  </w:num>
  <w:num w:numId="11">
    <w:abstractNumId w:val="0"/>
  </w:num>
  <w:num w:numId="12">
    <w:abstractNumId w:val="5"/>
  </w:num>
  <w:num w:numId="13">
    <w:abstractNumId w:val="4"/>
  </w:num>
  <w:num w:numId="14">
    <w:abstractNumId w:val="7"/>
  </w:num>
  <w:num w:numId="15">
    <w:abstractNumId w:val="1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Puest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2009-10-09T23:35:00Z</dcterms:created>
  <cp:lastModifiedBy>Ethan Puglia</cp:lastModifiedBy>
  <cp:lastPrinted>2009-10-22T01:10:00Z</cp:lastPrinted>
  <dcterms:modified xsi:type="dcterms:W3CDTF">2019-03-28T17:34:14Z</dcterms:modified>
  <cp:revision>11</cp:revision>
  <dc:title>PROYECTO DE ORDENANZA VIOLENCIA FAMILIAR</dc:title>
</cp:coreProperties>
</file>