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8BDFE2" Type="http://schemas.openxmlformats.org/officeDocument/2006/relationships/officeDocument" Target="/word/document.xml" /><Relationship Id="coreR4B8BDF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8493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907/08 iniciado por López Enrique Vital; y</w:t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1"/>
        <w:ind w:left="561"/>
      </w:pPr>
    </w:p>
    <w:p>
      <w:pPr>
        <w:pStyle w:val="P11"/>
        <w:ind w:left="561"/>
      </w:pPr>
      <w:r>
        <w:t>Que el Sr. López Enrique Vital adquirido del Sr. Leopoldo Nieto, mediante Boleto de Compra - Venta un Panteón doble, ubicado en el Cementerio de la ciudad de Alta Gracia, designado por la Municipalidad – Identificación 000423 – Parcela 0P3-0021-01;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titulo privado acompañado en copia obrante a Fs. 3/4, prueban la peticionante que detenta el inmueble;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acuerdo a lo previsto por la Ordenanza N°6067,  Art.23, corresponde que la concesión de uso de las parcelas del cementerio se otorgue por Ordenanza;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Fs.5 es acompañado cedulón pago de la Tasa de Conservación y Mantenimiento de cementerio; </w:t>
      </w:r>
    </w:p>
    <w:p>
      <w:pPr>
        <w:ind w:left="374"/>
        <w:jc w:val="right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 por la Comisión de Legislación General, la misma emite despacho favorable, aprobado por Unanimidad en Sesión Ordinaria del día 07 de Octubre de 2009;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al Sr. López Enrique Vital, la concesión de uso del Panteón doble, ubicado en el Cementerio de la ciudad de Alta Gracia, Designado por la Municipalidad – Identificación 000423 – Parcela 0P3-0021-01 por el termino de NOVENTA Y NUEVE AÑOS (99) a partir de la promulgación de la respectiva Ordenanza.-</w:t>
      </w: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1209D68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9280959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D3DF2EF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27A3F85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58D5E2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9F0834B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F63916B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C5FD86E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C559286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2009-10-10T00:07:00Z</dcterms:created>
  <cp:lastModifiedBy>Ethan Puglia</cp:lastModifiedBy>
  <cp:lastPrinted>2009-10-10T00:16:00Z</cp:lastPrinted>
  <dcterms:modified xsi:type="dcterms:W3CDTF">2019-03-28T17:34:14Z</dcterms:modified>
  <cp:revision>5</cp:revision>
  <dc:title>PROYECTO DE ORDENANZA VIOLENCIA FAMILIAR</dc:title>
</cp:coreProperties>
</file>