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0A12803" Type="http://schemas.openxmlformats.org/officeDocument/2006/relationships/officeDocument" Target="/word/document.xml" /><Relationship Id="coreR20A1280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8503</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Tarifaria Vigente para el año en curso Nº 8301 y su modificatoria N° 8364; y</w:t>
      </w:r>
    </w:p>
    <w:p>
      <w:pPr>
        <w:rPr>
          <w:rStyle w:val="C3"/>
        </w:rPr>
      </w:pPr>
    </w:p>
    <w:p>
      <w:pPr>
        <w:pStyle w:val="P2"/>
        <w:rPr>
          <w:rStyle w:val="C3"/>
        </w:rPr>
      </w:pPr>
    </w:p>
    <w:p>
      <w:pPr>
        <w:pStyle w:val="P2"/>
        <w:rPr>
          <w:rStyle w:val="C3"/>
        </w:rPr>
      </w:pPr>
    </w:p>
    <w:p>
      <w:pPr>
        <w:pStyle w:val="P2"/>
      </w:pPr>
      <w:r>
        <w:t>C O N S I D E R A N D O</w:t>
      </w:r>
    </w:p>
    <w:p/>
    <w:p/>
    <w:p>
      <w:pPr>
        <w:ind w:left="561"/>
        <w:jc w:val="both"/>
        <w:rPr>
          <w:rStyle w:val="C3"/>
          <w:rFonts w:ascii="Courier New" w:hAnsi="Courier New"/>
        </w:rPr>
      </w:pPr>
      <w:r>
        <w:rPr>
          <w:rStyle w:val="C3"/>
          <w:rFonts w:ascii="Courier New" w:hAnsi="Courier New"/>
        </w:rPr>
        <w:t>Que la Ordenanza N° 8301, en su Capítulo VII: Contribuciones que inciden sobre la construcción de obra, Art.24°: Estudio de planos, inc. 4 a, b, c y d se determina el porcentaje a abonar por las obras de Relevamiento en las distintas situaciones;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por Ordenanza N° 8364, se modifica el Art.24° de la Ordenanza N° 8301, estableciendo en sus distintos incisos los porcentajes a pagar sobre el Monto de Obra establecido por los Colegios de Profesionales de la Construcción en cada caso, fijando la fecha 01 de Noviembre como inicio de cobro de los mismos;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hace necesario dar publicidad a tal situación a fin de que los Vecinos puedan presentar la documentación correspondiente a relevamientos, con anterioridad a la fecha de inicio de cobro fijada;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dicho plazo se encuentra próximo a vencer 01 DE Noviembre 2009, y el cambio de autoridades en la Secretaría de Obras Públicas, no ha permitido realizar la campaña de publicidad necesaria para conocimiento de los Vecinos;</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lo anteriormente expuesto se hace necesario prorrogar los plazos establecidos a fin de poner en conocimiento de la ciudadanía de tal situación;</w:t>
      </w:r>
    </w:p>
    <w:p>
      <w:pPr>
        <w:ind w:left="561"/>
        <w:jc w:val="both"/>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w:t>
      </w: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rPr>
      </w:pPr>
    </w:p>
    <w:p>
      <w:pPr>
        <w:jc w:val="both"/>
        <w:rPr>
          <w:rStyle w:val="C3"/>
          <w:rFonts w:ascii="Courier New" w:hAnsi="Courier New"/>
        </w:rPr>
      </w:pPr>
      <w:r>
        <w:rPr>
          <w:rStyle w:val="C3"/>
          <w:rFonts w:ascii="Courier New" w:hAnsi="Courier New"/>
          <w:b w:val="1"/>
          <w:sz w:val="24"/>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totalidad de los Concejales presentes, se decide su aprobación por Unanimidad en Sesión Ordinaria del día 21 de Octubre de 2009;</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rPr>
      </w:pPr>
    </w:p>
    <w:p>
      <w:pPr>
        <w:pStyle w:val="P12"/>
        <w:ind w:left="561"/>
        <w:rPr>
          <w:rStyle w:val="C3"/>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MODIFÍQUESE</w:t>
      </w:r>
      <w:r>
        <w:rPr>
          <w:rStyle w:val="C3"/>
          <w:rFonts w:ascii="Courier New" w:hAnsi="Courier New"/>
        </w:rPr>
        <w:t xml:space="preserve"> los incisos 4) c) y d) del Art.24° Estudio de Planos, Cap. VII de la Ordenanza Tarifaria vigente N° 8301, los que quedarán redactados de la siguiente forma: “4) c) Toda obra ejecutada, se encuadre o no en las Ordenanzas vigentes en la materia, que fuera detectada por el personal de Inspectoría Municipal, abonará a partir del 01 de Mayo de 2010, sobre el importe de tasación establecido por los Colegios de Ing. Civiles, de Arquitectos y de Constructores Universitarios de la Provincia de Córdoba. ................................................60°/00.-</w:t>
      </w:r>
    </w:p>
    <w:p>
      <w:pPr>
        <w:pStyle w:val="P11"/>
        <w:ind w:left="374"/>
      </w:pPr>
      <w:r>
        <w:t xml:space="preserve">4 d) Toda obra ejecutada, se encuadre o no en las Ordenanzas vigentes en la materia, que fuera presentada en forma espontánea por el comitente y/o propietario,  abonará a partir del 01 de Mayo de 2010, sobre el importe de tasación establecido por los Colegios de Ing. Civiles, de Arquitectos y de Constructores Universitarios de la Provincia de Córdoba.........................................50°/00.-</w:t>
      </w:r>
    </w:p>
    <w:p>
      <w:pPr>
        <w:ind w:hanging="374" w:left="374"/>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VEINTIÚN DÍAS DEL MES DE OCTUBRE DEL AÑO DOS MIL NUEVE.- </w:t>
      </w:r>
    </w:p>
    <w:p>
      <w:pPr>
        <w:pStyle w:val="P16"/>
        <w:ind w:left="113"/>
        <w:jc w:val="center"/>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23CADF31">
      <w:start w:val="2"/>
      <w:numFmt w:val="bullet"/>
      <w:suff w:val="tab"/>
      <w:lvlText w:val="-"/>
      <w:lvlJc w:val="left"/>
      <w:pPr>
        <w:ind w:hanging="360" w:left="1080"/>
        <w:tabs>
          <w:tab w:val="left" w:pos="1080" w:leader="none"/>
        </w:tabs>
      </w:pPr>
      <w:rPr>
        <w:rFonts w:ascii="Courier New" w:hAnsi="Courier New"/>
      </w:rPr>
    </w:lvl>
    <w:lvl w:ilvl="1" w:tplc="65B90A74">
      <w:start w:val="1"/>
      <w:numFmt w:val="bullet"/>
      <w:suff w:val="tab"/>
      <w:lvlText w:val="o"/>
      <w:lvlJc w:val="left"/>
      <w:pPr>
        <w:ind w:hanging="360" w:left="1800"/>
        <w:tabs>
          <w:tab w:val="left" w:pos="1800" w:leader="none"/>
        </w:tabs>
      </w:pPr>
      <w:rPr>
        <w:rFonts w:ascii="Courier New" w:hAnsi="Courier New"/>
      </w:rPr>
    </w:lvl>
    <w:lvl w:ilvl="2" w:tplc="0FC91241">
      <w:start w:val="1"/>
      <w:numFmt w:val="bullet"/>
      <w:suff w:val="tab"/>
      <w:lvlText w:val=""/>
      <w:lvlJc w:val="left"/>
      <w:pPr>
        <w:ind w:hanging="360" w:left="2520"/>
        <w:tabs>
          <w:tab w:val="left" w:pos="2520" w:leader="none"/>
        </w:tabs>
      </w:pPr>
      <w:rPr>
        <w:rFonts w:ascii="Wingdings" w:hAnsi="Wingdings"/>
      </w:rPr>
    </w:lvl>
    <w:lvl w:ilvl="3" w:tplc="727330F4">
      <w:start w:val="1"/>
      <w:numFmt w:val="bullet"/>
      <w:suff w:val="tab"/>
      <w:lvlText w:val=""/>
      <w:lvlJc w:val="left"/>
      <w:pPr>
        <w:ind w:hanging="360" w:left="3240"/>
        <w:tabs>
          <w:tab w:val="left" w:pos="3240" w:leader="none"/>
        </w:tabs>
      </w:pPr>
      <w:rPr>
        <w:rFonts w:ascii="Symbol" w:hAnsi="Symbol"/>
      </w:rPr>
    </w:lvl>
    <w:lvl w:ilvl="4" w:tplc="6D348ADC">
      <w:start w:val="1"/>
      <w:numFmt w:val="bullet"/>
      <w:suff w:val="tab"/>
      <w:lvlText w:val="o"/>
      <w:lvlJc w:val="left"/>
      <w:pPr>
        <w:ind w:hanging="360" w:left="3960"/>
        <w:tabs>
          <w:tab w:val="left" w:pos="3960" w:leader="none"/>
        </w:tabs>
      </w:pPr>
      <w:rPr>
        <w:rFonts w:ascii="Courier New" w:hAnsi="Courier New"/>
      </w:rPr>
    </w:lvl>
    <w:lvl w:ilvl="5" w:tplc="6E061AC1">
      <w:start w:val="1"/>
      <w:numFmt w:val="bullet"/>
      <w:suff w:val="tab"/>
      <w:lvlText w:val=""/>
      <w:lvlJc w:val="left"/>
      <w:pPr>
        <w:ind w:hanging="360" w:left="4680"/>
        <w:tabs>
          <w:tab w:val="left" w:pos="4680" w:leader="none"/>
        </w:tabs>
      </w:pPr>
      <w:rPr>
        <w:rFonts w:ascii="Wingdings" w:hAnsi="Wingdings"/>
      </w:rPr>
    </w:lvl>
    <w:lvl w:ilvl="6" w:tplc="1711B03A">
      <w:start w:val="1"/>
      <w:numFmt w:val="bullet"/>
      <w:suff w:val="tab"/>
      <w:lvlText w:val=""/>
      <w:lvlJc w:val="left"/>
      <w:pPr>
        <w:ind w:hanging="360" w:left="5400"/>
        <w:tabs>
          <w:tab w:val="left" w:pos="5400" w:leader="none"/>
        </w:tabs>
      </w:pPr>
      <w:rPr>
        <w:rFonts w:ascii="Symbol" w:hAnsi="Symbol"/>
      </w:rPr>
    </w:lvl>
    <w:lvl w:ilvl="7" w:tplc="219AAEDA">
      <w:start w:val="1"/>
      <w:numFmt w:val="bullet"/>
      <w:suff w:val="tab"/>
      <w:lvlText w:val="o"/>
      <w:lvlJc w:val="left"/>
      <w:pPr>
        <w:ind w:hanging="360" w:left="6120"/>
        <w:tabs>
          <w:tab w:val="left" w:pos="6120" w:leader="none"/>
        </w:tabs>
      </w:pPr>
      <w:rPr>
        <w:rFonts w:ascii="Courier New" w:hAnsi="Courier New"/>
      </w:rPr>
    </w:lvl>
    <w:lvl w:ilvl="8" w:tplc="305AEE35">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2"/>
  </w:num>
  <w:num w:numId="6">
    <w:abstractNumId w:val="13"/>
  </w:num>
  <w:num w:numId="7">
    <w:abstractNumId w:val="8"/>
  </w:num>
  <w:num w:numId="8">
    <w:abstractNumId w:val="6"/>
  </w:num>
  <w:num w:numId="9">
    <w:abstractNumId w:val="11"/>
  </w:num>
  <w:num w:numId="10">
    <w:abstractNumId w:val="14"/>
  </w:num>
  <w:num w:numId="11">
    <w:abstractNumId w:val="0"/>
  </w:num>
  <w:num w:numId="12">
    <w:abstractNumId w:val="5"/>
  </w:num>
  <w:num w:numId="13">
    <w:abstractNumId w:val="4"/>
  </w:num>
  <w:num w:numId="14">
    <w:abstractNumId w:val="7"/>
  </w:num>
  <w:num w:numId="15">
    <w:abstractNumId w:val="1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2009-10-23T02:46:00Z</dcterms:created>
  <cp:lastModifiedBy>Ethan Puglia</cp:lastModifiedBy>
  <cp:lastPrinted>2009-10-23T02:45:00Z</cp:lastPrinted>
  <dcterms:modified xsi:type="dcterms:W3CDTF">2019-03-28T17:34:14Z</dcterms:modified>
  <cp:revision>6</cp:revision>
  <dc:title>PROYECTO DE ORDENANZA VIOLENCIA FAMILIAR</dc:title>
</cp:coreProperties>
</file>