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8F06593" Type="http://schemas.openxmlformats.org/officeDocument/2006/relationships/officeDocument" Target="/word/document.xml" /><Relationship Id="coreR28F0659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8508</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cancelación de las obligaciones fiscales hacia la Municipalidad de Alta Gracia, consistentes en Tasas y otras contribuciones de ejercicios anteriores a través de la Dación en Pago; y</w:t>
      </w:r>
    </w:p>
    <w:p>
      <w:pPr>
        <w:rPr>
          <w:rStyle w:val="C3"/>
        </w:rPr>
      </w:pPr>
    </w:p>
    <w:p>
      <w:pPr>
        <w:pStyle w:val="P2"/>
        <w:rPr>
          <w:rStyle w:val="C3"/>
        </w:rPr>
      </w:pPr>
    </w:p>
    <w:p>
      <w:pPr>
        <w:pStyle w:val="P2"/>
      </w:pPr>
      <w:r>
        <w:t>C O N S I D E R A N D O</w:t>
      </w:r>
    </w:p>
    <w:p/>
    <w:p/>
    <w:p>
      <w:pPr>
        <w:pStyle w:val="P11"/>
        <w:ind w:left="561"/>
      </w:pPr>
      <w:r>
        <w:t>Que el monto de las mismas es establecido anualmente y de acuerdo a las alícuotas y aforos que determina anualmente la Ordenanza Tarifaria;</w:t>
      </w:r>
    </w:p>
    <w:p>
      <w:pPr>
        <w:pStyle w:val="P20"/>
        <w:ind w:left="561"/>
        <w:jc w:val="both"/>
        <w:rPr>
          <w:rStyle w:val="C3"/>
          <w:b w:val="1"/>
          <w:sz w:val="24"/>
        </w:rPr>
      </w:pPr>
    </w:p>
    <w:p>
      <w:pPr>
        <w:pStyle w:val="P20"/>
        <w:ind w:left="561"/>
        <w:jc w:val="both"/>
        <w:rPr>
          <w:rStyle w:val="C3"/>
          <w:sz w:val="24"/>
        </w:rPr>
      </w:pPr>
      <w:r>
        <w:rPr>
          <w:rStyle w:val="C3"/>
          <w:sz w:val="24"/>
        </w:rPr>
        <w:t>Que otros Estados, sean Municipales, Provinciales o entes públicos, utilizan otras figuras cancelativas, las que dinamizan y agilizan la percepción de las gabelas en cuestión;</w:t>
      </w:r>
    </w:p>
    <w:p>
      <w:pPr>
        <w:pStyle w:val="P20"/>
        <w:ind w:left="561"/>
        <w:jc w:val="both"/>
        <w:rPr>
          <w:rStyle w:val="C3"/>
          <w:sz w:val="24"/>
        </w:rPr>
      </w:pPr>
    </w:p>
    <w:p>
      <w:pPr>
        <w:pStyle w:val="P20"/>
        <w:ind w:left="561"/>
        <w:jc w:val="both"/>
        <w:rPr>
          <w:rStyle w:val="C3"/>
          <w:sz w:val="24"/>
        </w:rPr>
      </w:pPr>
      <w:r>
        <w:rPr>
          <w:rStyle w:val="C3"/>
          <w:sz w:val="24"/>
        </w:rPr>
        <w:t xml:space="preserve">Que numerosos contribuyentes solicitan cancelar sus deudas tributarias con el  Estado Municipal mediante diversas prestaciones, daciones y o ejecuciones;</w:t>
      </w:r>
    </w:p>
    <w:p>
      <w:pPr>
        <w:pStyle w:val="P20"/>
        <w:ind w:left="561"/>
        <w:jc w:val="both"/>
        <w:rPr>
          <w:rStyle w:val="C3"/>
          <w:sz w:val="24"/>
        </w:rPr>
      </w:pPr>
    </w:p>
    <w:p>
      <w:pPr>
        <w:pStyle w:val="P20"/>
        <w:ind w:left="561"/>
        <w:jc w:val="both"/>
        <w:rPr>
          <w:rStyle w:val="C3"/>
          <w:sz w:val="24"/>
        </w:rPr>
      </w:pPr>
      <w:r>
        <w:rPr>
          <w:rStyle w:val="C3"/>
          <w:sz w:val="24"/>
        </w:rPr>
        <w:t xml:space="preserve">Que dicha cancelación se efectúa, en algunos casos,  mediante la realización de tareas o en otros, mediante la entrega de bienes materiales útiles a las prestaciones y necesidades municipales;</w:t>
      </w:r>
    </w:p>
    <w:p>
      <w:pPr>
        <w:pStyle w:val="P20"/>
        <w:ind w:left="561"/>
        <w:jc w:val="both"/>
        <w:rPr>
          <w:rStyle w:val="C3"/>
          <w:sz w:val="24"/>
        </w:rPr>
      </w:pPr>
    </w:p>
    <w:p>
      <w:pPr>
        <w:pStyle w:val="P20"/>
        <w:ind w:left="561"/>
        <w:jc w:val="both"/>
        <w:rPr>
          <w:rStyle w:val="C3"/>
          <w:sz w:val="24"/>
        </w:rPr>
      </w:pPr>
      <w:r>
        <w:rPr>
          <w:rStyle w:val="C3"/>
          <w:sz w:val="24"/>
        </w:rPr>
        <w:t>Que las Áreas Técnicas del Departamento Ejecutivo efectúan, si corresponde, las intervenciones necesarias a los fines de corroborar las situaciones Socioeconómicas de los solicitantes;</w:t>
      </w:r>
    </w:p>
    <w:p>
      <w:pPr>
        <w:pStyle w:val="P20"/>
        <w:ind w:left="561"/>
        <w:jc w:val="both"/>
        <w:rPr>
          <w:rStyle w:val="C3"/>
          <w:sz w:val="24"/>
        </w:rPr>
      </w:pPr>
    </w:p>
    <w:p>
      <w:pPr>
        <w:pStyle w:val="P20"/>
        <w:ind w:left="561"/>
        <w:jc w:val="both"/>
        <w:rPr>
          <w:rStyle w:val="C3"/>
          <w:sz w:val="24"/>
        </w:rPr>
      </w:pPr>
      <w:r>
        <w:rPr>
          <w:rStyle w:val="C3"/>
          <w:sz w:val="24"/>
        </w:rPr>
        <w:t>Que es necesario atender lo requerido dada la manifiesta voluntad de pago que todos poseen pero que distintas coyunturas por las que atraviesan, les imposibilita efectuar en forma pecuniaria su concreción;</w:t>
      </w:r>
    </w:p>
    <w:p>
      <w:pPr>
        <w:jc w:val="both"/>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pStyle w:val="P20"/>
        <w:ind w:left="561"/>
        <w:jc w:val="both"/>
        <w:rPr>
          <w:rStyle w:val="C3"/>
          <w:sz w:val="24"/>
        </w:rPr>
      </w:pPr>
      <w:r>
        <w:rPr>
          <w:rStyle w:val="C3"/>
          <w:sz w:val="24"/>
        </w:rPr>
        <w:t>Que en todos los casos y al efecto, nos encontramos mediante la Dación en pago, hecho que sustituye el objeto de pago sin reemplazar una obligación por otra, ni creando una nueva obligación, en sustitución de la anterior, sin que subsista ninguna nueva obligación (Novación);</w:t>
      </w:r>
    </w:p>
    <w:p>
      <w:pPr>
        <w:pStyle w:val="P20"/>
        <w:ind w:left="561"/>
        <w:jc w:val="both"/>
        <w:rPr>
          <w:rStyle w:val="C3"/>
          <w:sz w:val="24"/>
        </w:rPr>
      </w:pPr>
    </w:p>
    <w:p>
      <w:pPr>
        <w:pStyle w:val="P20"/>
        <w:ind w:left="561"/>
        <w:jc w:val="both"/>
        <w:rPr>
          <w:rStyle w:val="C3"/>
          <w:sz w:val="24"/>
        </w:rPr>
      </w:pPr>
      <w:r>
        <w:rPr>
          <w:rStyle w:val="C3"/>
          <w:sz w:val="24"/>
        </w:rPr>
        <w:t xml:space="preserve">Que el Código Civil dice en el Art.779° que la Dación en pago tiene lugar “cuando el acreedor recibe voluntariamente por pago de la deuda, alguna cosa que no sea dinero en sustitución de lo que se le debía entregar, o del hecho que se le debía prestar”.- </w:t>
      </w:r>
    </w:p>
    <w:p>
      <w:pPr>
        <w:pStyle w:val="P20"/>
        <w:ind w:left="561"/>
        <w:jc w:val="both"/>
        <w:rPr>
          <w:rStyle w:val="C3"/>
          <w:sz w:val="24"/>
        </w:rPr>
      </w:pPr>
    </w:p>
    <w:p>
      <w:pPr>
        <w:pStyle w:val="P20"/>
        <w:ind w:left="561"/>
        <w:jc w:val="both"/>
        <w:rPr>
          <w:rStyle w:val="C3"/>
          <w:sz w:val="24"/>
        </w:rPr>
      </w:pPr>
      <w:r>
        <w:rPr>
          <w:rStyle w:val="C3"/>
          <w:sz w:val="24"/>
        </w:rPr>
        <w:t>Que, aunque el acreedor no está obligado a recibir una cosa distinta de la debida, nada impide que por acuerdo de las partes se admita la extinción de la obligación sustituyendo el pago del objeto debido por otro diferente;</w:t>
      </w:r>
    </w:p>
    <w:p>
      <w:pPr>
        <w:pStyle w:val="P20"/>
        <w:ind w:left="561"/>
        <w:jc w:val="both"/>
        <w:rPr>
          <w:rStyle w:val="C3"/>
          <w:sz w:val="24"/>
        </w:rPr>
      </w:pPr>
    </w:p>
    <w:p>
      <w:pPr>
        <w:pStyle w:val="P20"/>
        <w:ind w:left="561"/>
        <w:jc w:val="both"/>
        <w:rPr>
          <w:rStyle w:val="C3"/>
          <w:sz w:val="24"/>
        </w:rPr>
      </w:pPr>
      <w:r>
        <w:rPr>
          <w:rStyle w:val="C3"/>
          <w:sz w:val="24"/>
        </w:rPr>
        <w:t xml:space="preserve">Que para que exista Dación en pago es necesario: 1°- que exista una obligación primitiva válida. 2°- que se entregue una cosa distinta de la debida. 3°- el consentimiento de las partes para cancelar la primitiva obligación y el objeto dado en pago. 4°- intención de cancelar por ese medio la obligación primitiva. 5°- que la cosa dada en pago no sea dinero.- </w:t>
      </w:r>
    </w:p>
    <w:p>
      <w:pPr>
        <w:pStyle w:val="P20"/>
        <w:ind w:left="561"/>
        <w:jc w:val="both"/>
        <w:rPr>
          <w:rStyle w:val="C3"/>
          <w:sz w:val="24"/>
        </w:rPr>
      </w:pPr>
    </w:p>
    <w:p>
      <w:pPr>
        <w:pStyle w:val="P20"/>
        <w:ind w:left="561"/>
        <w:jc w:val="both"/>
        <w:rPr>
          <w:rStyle w:val="C3"/>
          <w:sz w:val="24"/>
        </w:rPr>
      </w:pPr>
      <w:r>
        <w:rPr>
          <w:rStyle w:val="C3"/>
          <w:sz w:val="24"/>
        </w:rPr>
        <w:t>Que la doctrina asigna a la Dación en Pago la calidad de acto jurídico, ya que entra en las precisiones del Artículo 944° del Código Civil, siendo éste un acto bilateral, puesto que requiere imprescindiblemente la conjunción de las voluntades del deudor que ofrece la prestación distinta y del acreedor que debe ejercer la voluntad de aceptarla;</w:t>
      </w:r>
    </w:p>
    <w:p>
      <w:pPr>
        <w:pStyle w:val="P20"/>
        <w:ind w:left="561"/>
        <w:jc w:val="both"/>
        <w:rPr>
          <w:rStyle w:val="C3"/>
          <w:sz w:val="24"/>
        </w:rPr>
      </w:pPr>
    </w:p>
    <w:p>
      <w:pPr>
        <w:pStyle w:val="P20"/>
        <w:ind w:left="561"/>
        <w:jc w:val="both"/>
        <w:rPr>
          <w:rStyle w:val="C3"/>
          <w:sz w:val="24"/>
        </w:rPr>
      </w:pPr>
      <w:r>
        <w:rPr>
          <w:rStyle w:val="C3"/>
          <w:sz w:val="24"/>
        </w:rPr>
        <w:t>Que asimismo, se debe hablar, en forma simple y exacta, de una convención liberatoria de caracteres propios, que no puede ser identificada ni con el pago propiamente dicho ni con la novación;</w:t>
      </w:r>
    </w:p>
    <w:p>
      <w:pPr>
        <w:pStyle w:val="P20"/>
        <w:ind w:left="561"/>
        <w:jc w:val="right"/>
        <w:rPr>
          <w:rStyle w:val="C3"/>
          <w:sz w:val="24"/>
        </w:rPr>
      </w:pPr>
      <w:r>
        <w:rPr>
          <w:rStyle w:val="C3"/>
          <w:sz w:val="24"/>
        </w:rPr>
        <w:t>...///</w:t>
      </w:r>
    </w:p>
    <w:p>
      <w:pPr>
        <w:pStyle w:val="P20"/>
        <w:ind w:left="561"/>
        <w:jc w:val="both"/>
        <w:rPr>
          <w:rStyle w:val="C3"/>
          <w:sz w:val="24"/>
        </w:rPr>
      </w:pPr>
    </w:p>
    <w:p>
      <w:pPr>
        <w:pStyle w:val="P20"/>
        <w:ind w:left="561"/>
        <w:jc w:val="both"/>
        <w:rPr>
          <w:rStyle w:val="C3"/>
          <w:sz w:val="24"/>
        </w:rPr>
      </w:pPr>
    </w:p>
    <w:p>
      <w:pPr>
        <w:pStyle w:val="P20"/>
        <w:ind w:left="561"/>
        <w:jc w:val="both"/>
        <w:rPr>
          <w:rStyle w:val="C3"/>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pStyle w:val="P20"/>
        <w:ind w:left="561"/>
        <w:jc w:val="both"/>
        <w:rPr>
          <w:rStyle w:val="C3"/>
          <w:sz w:val="24"/>
        </w:rPr>
      </w:pPr>
      <w:r>
        <w:rPr>
          <w:rStyle w:val="C3"/>
          <w:sz w:val="24"/>
        </w:rPr>
        <w:t>Que es oportuno y conveniente normativizar las diversas alternativas en las modalidades de cancelación de deudas, las que con el transcurso de las sucesivas administraciones se llevan a cabo sin que exista la regulación al efecto;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el Concejo en Comisión, el mismo emite despacho favorable, aprobado por Mayoría en Sesión Ordinaria del día 28 de Octubre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ind w:hanging="374" w:left="374"/>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Estado Municipal a través Honorable Concejo Deliberante podrá aceptar el pago de los tributos adeudados de ejercicios anteriores mediante: </w:t>
      </w:r>
    </w:p>
    <w:p>
      <w:pPr>
        <w:numPr>
          <w:ilvl w:val="0"/>
          <w:numId w:val="26"/>
        </w:numPr>
        <w:tabs>
          <w:tab w:val="clear" w:pos="360" w:leader="none"/>
          <w:tab w:val="left" w:pos="921" w:leader="none"/>
        </w:tabs>
        <w:ind w:hanging="561" w:left="1122"/>
        <w:jc w:val="both"/>
        <w:rPr>
          <w:rStyle w:val="C3"/>
          <w:rFonts w:ascii="Courier New" w:hAnsi="Courier New"/>
        </w:rPr>
      </w:pPr>
      <w:r>
        <w:rPr>
          <w:rStyle w:val="C3"/>
          <w:rFonts w:ascii="Courier New" w:hAnsi="Courier New"/>
        </w:rPr>
        <w:t xml:space="preserve">Transferencia de bienes. </w:t>
      </w:r>
    </w:p>
    <w:p>
      <w:pPr>
        <w:numPr>
          <w:ilvl w:val="0"/>
          <w:numId w:val="26"/>
        </w:numPr>
        <w:tabs>
          <w:tab w:val="clear" w:pos="360" w:leader="none"/>
          <w:tab w:val="left" w:pos="921" w:leader="none"/>
        </w:tabs>
        <w:ind w:hanging="561" w:left="1122"/>
        <w:jc w:val="both"/>
        <w:rPr>
          <w:rStyle w:val="C3"/>
          <w:rFonts w:ascii="Courier New" w:hAnsi="Courier New"/>
        </w:rPr>
      </w:pPr>
      <w:r>
        <w:rPr>
          <w:rStyle w:val="C3"/>
          <w:rFonts w:ascii="Courier New" w:hAnsi="Courier New"/>
        </w:rPr>
        <w:t>Ejecución de obras públicas.</w:t>
      </w:r>
    </w:p>
    <w:p>
      <w:pPr>
        <w:numPr>
          <w:ilvl w:val="0"/>
          <w:numId w:val="26"/>
        </w:numPr>
        <w:tabs>
          <w:tab w:val="clear" w:pos="360" w:leader="none"/>
          <w:tab w:val="left" w:pos="921" w:leader="none"/>
        </w:tabs>
        <w:ind w:hanging="561" w:left="1122"/>
        <w:jc w:val="both"/>
        <w:rPr>
          <w:rStyle w:val="C3"/>
          <w:rFonts w:ascii="Courier New" w:hAnsi="Courier New"/>
        </w:rPr>
      </w:pPr>
      <w:r>
        <w:rPr>
          <w:rStyle w:val="C3"/>
          <w:rFonts w:ascii="Courier New" w:hAnsi="Courier New"/>
        </w:rPr>
        <w:t>Dación en uso de inmuebles, instalaciones y equipos.</w:t>
      </w:r>
    </w:p>
    <w:p>
      <w:pPr>
        <w:ind w:left="561"/>
        <w:jc w:val="both"/>
        <w:rPr>
          <w:rStyle w:val="C3"/>
          <w:rFonts w:ascii="Courier New" w:hAnsi="Courier New"/>
        </w:rPr>
      </w:pPr>
      <w:r>
        <w:rPr>
          <w:rStyle w:val="C3"/>
          <w:rFonts w:ascii="Courier New" w:hAnsi="Courier New"/>
        </w:rPr>
        <w:t>y a través del Departamento Ejecutivo mediante:</w:t>
      </w:r>
    </w:p>
    <w:p>
      <w:pPr>
        <w:numPr>
          <w:ilvl w:val="0"/>
          <w:numId w:val="27"/>
        </w:numPr>
        <w:tabs>
          <w:tab w:val="clear" w:pos="360" w:leader="none"/>
          <w:tab w:val="left" w:pos="935" w:leader="none"/>
        </w:tabs>
        <w:ind w:hanging="561" w:left="1122"/>
        <w:jc w:val="both"/>
        <w:rPr>
          <w:rStyle w:val="C3"/>
          <w:rFonts w:ascii="Courier New" w:hAnsi="Courier New"/>
        </w:rPr>
      </w:pPr>
      <w:r>
        <w:rPr>
          <w:rStyle w:val="C3"/>
          <w:rFonts w:ascii="Courier New" w:hAnsi="Courier New"/>
        </w:rPr>
        <w:t>Prestaciones de servicios</w:t>
      </w:r>
    </w:p>
    <w:p>
      <w:pPr>
        <w:jc w:val="both"/>
        <w:rPr>
          <w:rStyle w:val="C3"/>
          <w:rFonts w:ascii="Courier New" w:hAnsi="Courier New"/>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contribuyentes que opten por alguna de las modalidades de pago previstas en el Artículo anterior, deberán realizar la correspondiente presentación administrativa, la que  deberá contener: </w:t>
      </w:r>
    </w:p>
    <w:p>
      <w:pPr>
        <w:numPr>
          <w:ilvl w:val="0"/>
          <w:numId w:val="28"/>
        </w:numPr>
        <w:tabs>
          <w:tab w:val="clear" w:pos="360" w:leader="none"/>
          <w:tab w:val="left" w:pos="921" w:leader="none"/>
        </w:tabs>
        <w:ind w:left="921"/>
        <w:jc w:val="both"/>
        <w:rPr>
          <w:rStyle w:val="C3"/>
          <w:rFonts w:ascii="Courier New" w:hAnsi="Courier New"/>
        </w:rPr>
      </w:pPr>
      <w:r>
        <w:rPr>
          <w:rStyle w:val="C3"/>
          <w:rFonts w:ascii="Courier New" w:hAnsi="Courier New"/>
        </w:rPr>
        <w:t>Indicación de la deuda a cancelar</w:t>
      </w:r>
    </w:p>
    <w:p>
      <w:pPr>
        <w:numPr>
          <w:ilvl w:val="0"/>
          <w:numId w:val="28"/>
        </w:numPr>
        <w:tabs>
          <w:tab w:val="clear" w:pos="360" w:leader="none"/>
          <w:tab w:val="left" w:pos="921" w:leader="none"/>
        </w:tabs>
        <w:ind w:left="921"/>
        <w:jc w:val="both"/>
        <w:rPr>
          <w:rStyle w:val="C3"/>
          <w:rFonts w:ascii="Courier New" w:hAnsi="Courier New"/>
        </w:rPr>
      </w:pPr>
      <w:r>
        <w:rPr>
          <w:rStyle w:val="C3"/>
          <w:rFonts w:ascii="Courier New" w:hAnsi="Courier New"/>
        </w:rPr>
        <w:t xml:space="preserve">Estatutos sociales e instrumentos constitutivos       debidamente inscriptos, si se tratare de sociedades o asociaciones.</w:t>
      </w:r>
    </w:p>
    <w:p>
      <w:pPr>
        <w:numPr>
          <w:ilvl w:val="0"/>
          <w:numId w:val="28"/>
        </w:numPr>
        <w:tabs>
          <w:tab w:val="clear" w:pos="360" w:leader="none"/>
          <w:tab w:val="left" w:pos="921" w:leader="none"/>
        </w:tabs>
        <w:ind w:left="921"/>
        <w:jc w:val="both"/>
        <w:rPr>
          <w:rStyle w:val="C3"/>
          <w:rFonts w:ascii="Courier New" w:hAnsi="Courier New"/>
        </w:rPr>
      </w:pPr>
      <w:r>
        <w:rPr>
          <w:rStyle w:val="C3"/>
          <w:rFonts w:ascii="Courier New" w:hAnsi="Courier New"/>
        </w:rPr>
        <w:t xml:space="preserve">Habilitación Municipal, si fuere necesaria para el ejercicio de la actividad de la que se trate. </w:t>
      </w:r>
    </w:p>
    <w:p>
      <w:pPr>
        <w:numPr>
          <w:ilvl w:val="0"/>
          <w:numId w:val="28"/>
        </w:numPr>
        <w:tabs>
          <w:tab w:val="clear" w:pos="360" w:leader="none"/>
          <w:tab w:val="left" w:pos="921" w:leader="none"/>
        </w:tabs>
        <w:ind w:left="921"/>
        <w:jc w:val="both"/>
        <w:rPr>
          <w:rStyle w:val="C3"/>
          <w:rFonts w:ascii="Courier New" w:hAnsi="Courier New"/>
        </w:rPr>
      </w:pPr>
      <w:r>
        <w:rPr>
          <w:rStyle w:val="C3"/>
          <w:rFonts w:ascii="Courier New" w:hAnsi="Courier New"/>
        </w:rPr>
        <w:t>Descripción detallada de la propuesta debiéndose acompañar los documentos que sirvan de antecedente.</w:t>
      </w:r>
    </w:p>
    <w:p>
      <w:pPr>
        <w:numPr>
          <w:ilvl w:val="0"/>
          <w:numId w:val="28"/>
        </w:numPr>
        <w:tabs>
          <w:tab w:val="clear" w:pos="360" w:leader="none"/>
          <w:tab w:val="left" w:pos="921" w:leader="none"/>
        </w:tabs>
        <w:ind w:left="921"/>
        <w:jc w:val="both"/>
        <w:rPr>
          <w:rStyle w:val="C3"/>
          <w:rFonts w:ascii="Courier New" w:hAnsi="Courier New"/>
        </w:rPr>
      </w:pPr>
      <w:r>
        <w:rPr>
          <w:rStyle w:val="C3"/>
          <w:rFonts w:ascii="Courier New" w:hAnsi="Courier New"/>
        </w:rPr>
        <w:t>Explicación de la causa de la mora, si correspondiere.</w:t>
      </w:r>
    </w:p>
    <w:p>
      <w:pPr>
        <w:jc w:val="right"/>
        <w:rPr>
          <w:rStyle w:val="C3"/>
          <w:rFonts w:ascii="Courier New" w:hAnsi="Courier New"/>
        </w:rPr>
      </w:pPr>
      <w:r>
        <w:rPr>
          <w:rStyle w:val="C3"/>
          <w:rFonts w:ascii="Courier New" w:hAnsi="Courier New"/>
        </w:rPr>
        <w:t>...///</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jc w:val="both"/>
        <w:rPr>
          <w:rStyle w:val="C3"/>
          <w:rFonts w:ascii="Courier New" w:hAnsi="Courier New"/>
          <w:u w:val="single"/>
        </w:rPr>
      </w:pPr>
    </w:p>
    <w:p>
      <w:pPr>
        <w:ind w:hanging="561" w:left="561"/>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Estado Municipal no estará obligado en ningún caso a aceptar las propuestas presentadas, no teniendo los proponentes derecho a reclamo alguno por el rechazo de las mismas. </w:t>
      </w:r>
    </w:p>
    <w:p>
      <w:pPr>
        <w:ind w:left="561"/>
        <w:jc w:val="both"/>
        <w:rPr>
          <w:rStyle w:val="C3"/>
          <w:rFonts w:ascii="Courier New" w:hAnsi="Courier New"/>
        </w:rPr>
      </w:pPr>
      <w:r>
        <w:rPr>
          <w:rStyle w:val="C3"/>
          <w:rFonts w:ascii="Courier New" w:hAnsi="Courier New"/>
        </w:rPr>
        <w:t>El silencio administrativo no implica aceptación o denegación de la propuesta, lo que solo se producirá mediante el dictado del acto que acepte o rechace, respectivamente el beneficio.</w:t>
      </w:r>
    </w:p>
    <w:p>
      <w:pPr>
        <w:ind w:left="561"/>
        <w:jc w:val="both"/>
        <w:rPr>
          <w:rStyle w:val="C3"/>
          <w:rFonts w:ascii="Courier New" w:hAnsi="Courier New"/>
        </w:rPr>
      </w:pPr>
      <w:r>
        <w:rPr>
          <w:rStyle w:val="C3"/>
          <w:rFonts w:ascii="Courier New" w:hAnsi="Courier New"/>
        </w:rPr>
        <w:t>En caso de aceptación se suscribirá el correspondiente Convenio en la fecha fijada en el Decisorio al que se refiere el párrafo anterior, para lo cual el Departamento Ejecutivo queda debidamente autorizado en los términos del Artículo 101°, inc 19° de la Carta Orgánica Municipal.</w:t>
      </w:r>
    </w:p>
    <w:p>
      <w:pPr>
        <w:ind w:left="561"/>
        <w:jc w:val="both"/>
        <w:rPr>
          <w:rStyle w:val="C3"/>
          <w:rFonts w:ascii="Courier New" w:hAnsi="Courier New"/>
        </w:rPr>
      </w:pPr>
      <w:r>
        <w:rPr>
          <w:rStyle w:val="C3"/>
          <w:rFonts w:ascii="Courier New" w:hAnsi="Courier New"/>
        </w:rPr>
        <w:t>La Adhesión al presente régimen significará el reconocimiento expreso de la deuda, operándose la interrupción de la prescripción de la misma</w:t>
      </w:r>
    </w:p>
    <w:p>
      <w:pPr>
        <w:jc w:val="both"/>
        <w:rPr>
          <w:rStyle w:val="C3"/>
          <w:rFonts w:ascii="Courier New" w:hAnsi="Courier New"/>
        </w:rPr>
      </w:pPr>
      <w:r>
        <w:rPr>
          <w:rStyle w:val="C3"/>
          <w:rFonts w:ascii="Courier New" w:hAnsi="Courier New"/>
        </w:rPr>
        <w:t xml:space="preserve"> </w:t>
      </w: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PARA</w:t>
      </w:r>
      <w:r>
        <w:rPr>
          <w:rStyle w:val="C3"/>
          <w:rFonts w:ascii="Courier New" w:hAnsi="Courier New"/>
        </w:rPr>
        <w:t xml:space="preserve"> el caso de Transferencia de Bienes podrá aceptarse la transferencia de inmuebles una vez verificados los siguientes requisitos: </w:t>
      </w:r>
    </w:p>
    <w:p>
      <w:pPr>
        <w:ind w:left="561"/>
        <w:jc w:val="both"/>
        <w:rPr>
          <w:rStyle w:val="C3"/>
          <w:rFonts w:ascii="Courier New" w:hAnsi="Courier New"/>
        </w:rPr>
      </w:pPr>
      <w:r>
        <w:rPr>
          <w:rStyle w:val="C3"/>
          <w:rFonts w:ascii="Courier New" w:hAnsi="Courier New"/>
        </w:rPr>
        <w:t xml:space="preserve">a) Que el contribuyente sea titular de dominio del inmueble que se pretende dar en pago. </w:t>
      </w:r>
    </w:p>
    <w:p>
      <w:pPr>
        <w:ind w:left="561"/>
        <w:jc w:val="both"/>
        <w:rPr>
          <w:rStyle w:val="C3"/>
          <w:rFonts w:ascii="Courier New" w:hAnsi="Courier New"/>
        </w:rPr>
      </w:pPr>
      <w:r>
        <w:rPr>
          <w:rStyle w:val="C3"/>
          <w:rFonts w:ascii="Courier New" w:hAnsi="Courier New"/>
        </w:rPr>
        <w:t xml:space="preserve">b) Que se realice tasación oficial, siendo el monto resultante el importe por el que se aceptará la cancelación total o parcial de la deuda. </w:t>
      </w:r>
    </w:p>
    <w:p>
      <w:pPr>
        <w:pStyle w:val="P11"/>
        <w:ind w:left="561"/>
      </w:pPr>
      <w:r>
        <w:t xml:space="preserve">c) Que el inmueble se encuentre libre de deudas, gravámenes (salvo los municipales) y ocupantes. </w:t>
      </w:r>
    </w:p>
    <w:p>
      <w:pPr>
        <w:ind w:left="561"/>
        <w:jc w:val="both"/>
        <w:rPr>
          <w:rStyle w:val="C3"/>
          <w:rFonts w:ascii="Courier New" w:hAnsi="Courier New"/>
        </w:rPr>
      </w:pPr>
      <w:r>
        <w:rPr>
          <w:rStyle w:val="C3"/>
          <w:rFonts w:ascii="Courier New" w:hAnsi="Courier New"/>
        </w:rPr>
        <w:t>d) Que el titular de dominio tenga capacidad para disponer.</w:t>
      </w:r>
    </w:p>
    <w:p>
      <w:pPr>
        <w:ind w:left="561"/>
        <w:jc w:val="both"/>
        <w:rPr>
          <w:rStyle w:val="C3"/>
          <w:rFonts w:ascii="Courier New" w:hAnsi="Courier New"/>
        </w:rPr>
      </w:pPr>
      <w:r>
        <w:rPr>
          <w:rStyle w:val="C3"/>
          <w:rFonts w:ascii="Courier New" w:hAnsi="Courier New"/>
        </w:rPr>
        <w:t xml:space="preserve">e) Que el Departamento Ejecutivo justifique la utilidad del inmueble. </w:t>
      </w:r>
    </w:p>
    <w:p>
      <w:pPr>
        <w:ind w:hanging="561"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En todos los casos, los gastos que ocasione la transferencia de dominio correrán por cuenta del contribuyente, sin derecho a compensación o reconocimiento alguno imputable a la cancelación de la deuda tributaria.- </w:t>
      </w:r>
    </w:p>
    <w:p>
      <w:pPr>
        <w:jc w:val="right"/>
        <w:rPr>
          <w:rStyle w:val="C3"/>
          <w:rFonts w:ascii="Courier New" w:hAnsi="Courier New"/>
        </w:rPr>
      </w:pPr>
      <w:r>
        <w:rPr>
          <w:rStyle w:val="C3"/>
          <w:rFonts w:ascii="Courier New" w:hAnsi="Courier New"/>
        </w:rPr>
        <w:t>...///</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jc w:val="both"/>
        <w:rPr>
          <w:rStyle w:val="C3"/>
          <w:rFonts w:ascii="Courier New" w:hAnsi="Courier New"/>
          <w:u w:val="single"/>
        </w:rPr>
      </w:pPr>
    </w:p>
    <w:p>
      <w:pPr>
        <w:ind w:hanging="561" w:left="561"/>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el caso de compensación de deudas por la prestación de servicios, deberán observarse las siguientes condiciones: </w:t>
      </w:r>
    </w:p>
    <w:p>
      <w:pPr>
        <w:ind w:left="561"/>
        <w:jc w:val="both"/>
        <w:rPr>
          <w:rStyle w:val="C3"/>
          <w:rFonts w:ascii="Courier New" w:hAnsi="Courier New"/>
        </w:rPr>
      </w:pPr>
      <w:r>
        <w:rPr>
          <w:rStyle w:val="C3"/>
          <w:rFonts w:ascii="Courier New" w:hAnsi="Courier New"/>
        </w:rPr>
        <w:t xml:space="preserve">a) Que el Departamento Ejecutivo justifique la necesidad y utilidad del servicio ofrecido. </w:t>
      </w:r>
    </w:p>
    <w:p>
      <w:pPr>
        <w:ind w:left="561"/>
        <w:jc w:val="both"/>
        <w:rPr>
          <w:rStyle w:val="C3"/>
          <w:rFonts w:ascii="Courier New" w:hAnsi="Courier New"/>
        </w:rPr>
      </w:pPr>
      <w:r>
        <w:rPr>
          <w:rStyle w:val="C3"/>
          <w:rFonts w:ascii="Courier New" w:hAnsi="Courier New"/>
        </w:rPr>
        <w:t>b) Que el deudor no pueda efectuarlo en forma pecuniaria, hecho que deberá ser debidamente comprobado mediante el respectivo Relevamiento Socioeconómico y Ambiental efectuado por el Área Técnica Municipal correspondiente.-</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u w:val="single"/>
        </w:rPr>
        <w:t>:</w:t>
      </w:r>
      <w:r>
        <w:rPr>
          <w:rStyle w:val="C3"/>
          <w:rFonts w:ascii="Courier New" w:hAnsi="Courier New"/>
          <w:b w:val="1"/>
        </w:rPr>
        <w:t xml:space="preserve"> LA</w:t>
      </w:r>
      <w:r>
        <w:rPr>
          <w:rStyle w:val="C3"/>
          <w:rFonts w:ascii="Courier New" w:hAnsi="Courier New"/>
        </w:rPr>
        <w:t xml:space="preserve"> compensación de deudas a cambio de ejecución de obras públicas podrá aceptarse siempre que:</w:t>
      </w:r>
    </w:p>
    <w:p>
      <w:pPr>
        <w:ind w:left="561"/>
        <w:jc w:val="both"/>
        <w:rPr>
          <w:rStyle w:val="C3"/>
          <w:rFonts w:ascii="Courier New" w:hAnsi="Courier New"/>
        </w:rPr>
      </w:pPr>
      <w:r>
        <w:rPr>
          <w:rStyle w:val="C3"/>
          <w:rFonts w:ascii="Courier New" w:hAnsi="Courier New"/>
        </w:rPr>
        <w:t>a) El Departamento Ejecutivo justifique la utilidad de la obra propuesta.</w:t>
      </w:r>
    </w:p>
    <w:p>
      <w:pPr>
        <w:ind w:left="561"/>
        <w:jc w:val="both"/>
        <w:rPr>
          <w:rStyle w:val="C3"/>
          <w:rFonts w:ascii="Courier New" w:hAnsi="Courier New"/>
        </w:rPr>
      </w:pPr>
      <w:r>
        <w:rPr>
          <w:rStyle w:val="C3"/>
          <w:rFonts w:ascii="Courier New" w:hAnsi="Courier New"/>
        </w:rPr>
        <w:t>b) Que la propuesta no supere el monto establecido para el Concurso Privado de Precios.</w:t>
      </w:r>
    </w:p>
    <w:p>
      <w:pPr>
        <w:ind w:left="561"/>
        <w:jc w:val="both"/>
        <w:rPr>
          <w:rStyle w:val="C3"/>
          <w:rFonts w:ascii="Courier New" w:hAnsi="Courier New"/>
        </w:rPr>
      </w:pPr>
      <w:r>
        <w:rPr>
          <w:rStyle w:val="C3"/>
          <w:rFonts w:ascii="Courier New" w:hAnsi="Courier New"/>
        </w:rPr>
        <w:t>c) Cuando el monto de la propuesta exceda el límite antedicho, el Departamento Ejecutivo tramitará un Concurso Público de Precios en análogas condiciones a las contenidas en la propuesta una vez aceptada ésta por el Honorable Concejo Deliberante.-</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compensación de deudas mediante la dación en uso de inmuebles, instalaciones y equipos, podrá aceptarse siempre que: </w:t>
      </w:r>
    </w:p>
    <w:p>
      <w:pPr>
        <w:ind w:left="561"/>
        <w:jc w:val="both"/>
        <w:rPr>
          <w:rStyle w:val="C3"/>
          <w:rFonts w:ascii="Courier New" w:hAnsi="Courier New"/>
        </w:rPr>
      </w:pPr>
      <w:r>
        <w:rPr>
          <w:rStyle w:val="C3"/>
          <w:rFonts w:ascii="Courier New" w:hAnsi="Courier New"/>
        </w:rPr>
        <w:t xml:space="preserve">a) El ofrecimiento proviniere de contribuyentes o Entidades que se encuentren debidamente reconocidas por la autoridad competente que en cada caso correspondiere. </w:t>
        <w:tab/>
        <w:t xml:space="preserve">. </w:t>
      </w:r>
    </w:p>
    <w:p>
      <w:pPr>
        <w:ind w:left="561"/>
        <w:jc w:val="both"/>
        <w:rPr>
          <w:rStyle w:val="C3"/>
          <w:rFonts w:ascii="Courier New" w:hAnsi="Courier New"/>
        </w:rPr>
      </w:pPr>
      <w:r>
        <w:rPr>
          <w:rStyle w:val="C3"/>
          <w:rFonts w:ascii="Courier New" w:hAnsi="Courier New"/>
        </w:rPr>
        <w:t xml:space="preserve">b) El uso de los bienes ofrecidos fuere conveniente para las actividades que desarrolle o prevea desarrollar el Estado Municipal. </w:t>
      </w:r>
    </w:p>
    <w:p>
      <w:pPr>
        <w:ind w:left="561"/>
        <w:jc w:val="both"/>
        <w:rPr>
          <w:rStyle w:val="C3"/>
          <w:rFonts w:ascii="Courier New" w:hAnsi="Courier New"/>
        </w:rPr>
      </w:pPr>
      <w:r>
        <w:rPr>
          <w:rStyle w:val="C3"/>
          <w:rFonts w:ascii="Courier New" w:hAnsi="Courier New"/>
        </w:rPr>
        <w:t>Los valores asignados al uso de los citados bienes no superen a los de plaza.</w:t>
      </w:r>
    </w:p>
    <w:p>
      <w:pPr>
        <w:ind w:left="561"/>
        <w:jc w:val="both"/>
        <w:rPr>
          <w:rStyle w:val="C3"/>
          <w:rFonts w:ascii="Courier New" w:hAnsi="Courier New"/>
        </w:rPr>
      </w:pPr>
      <w:r>
        <w:rPr>
          <w:rStyle w:val="C3"/>
          <w:rFonts w:ascii="Courier New" w:hAnsi="Courier New"/>
        </w:rPr>
        <w:t xml:space="preserve">Se acredite la concurrencia  del extremo exigido en el inciso b) del Art.6.-</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todos los casos, deberá realizarse el registro contable correspondiente de los montos ingresados como pago de tributos, y de los importes aprobados por el Estado Municipal como su contraprestación, cualquiera fuere el modo que se haya adoptado.- </w:t>
      </w:r>
    </w:p>
    <w:p>
      <w:pPr>
        <w:jc w:val="both"/>
        <w:rPr>
          <w:rStyle w:val="C3"/>
          <w:rFonts w:ascii="Courier New" w:hAnsi="Courier New"/>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Convenios a los que hace referencia el tercer párrafo del Artículo 3° podrán prever el pago total o parcial de las obligaciones tributarias adeudadas por el contribuyente con más sus accesorios; de las que se encuentren al cobro. La falta de cumplimiento por parte del contribuyente, dará por caído el convenio de Dación de Pago suscripto y será exigible el total del crédito, independientemente de las fechas de vencimiento fijadas en los respectivos convenios de pago.- </w:t>
      </w:r>
    </w:p>
    <w:p>
      <w:pPr>
        <w:jc w:val="both"/>
        <w:rPr>
          <w:rStyle w:val="C3"/>
          <w:rFonts w:ascii="Courier New" w:hAnsi="Courier New"/>
          <w:u w:val="single"/>
        </w:rPr>
      </w:pPr>
    </w:p>
    <w:p>
      <w:pPr>
        <w:tabs>
          <w:tab w:val="left" w:pos="561" w:leader="none"/>
        </w:tabs>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0</w:t>
      </w:r>
      <w:r>
        <w:rPr>
          <w:rStyle w:val="C3"/>
          <w:rFonts w:ascii="Courier New" w:hAnsi="Courier New"/>
          <w:b w:val="1"/>
        </w:rPr>
        <w:t>:</w:t>
      </w:r>
      <w:r>
        <w:rPr>
          <w:rStyle w:val="C3"/>
          <w:rFonts w:ascii="Courier New" w:hAnsi="Courier New"/>
        </w:rPr>
        <w:t xml:space="preserve"> El Departamento Ejecutivo reglamentará la aplicación de la presente, en cuanto fuere necesario.- </w:t>
      </w:r>
    </w:p>
    <w:p>
      <w:pPr>
        <w:pStyle w:val="P1"/>
        <w:jc w:val="both"/>
        <w:rPr>
          <w:rStyle w:val="C3"/>
          <w:rFonts w:ascii="Courier New" w:hAnsi="Courier New"/>
          <w:sz w:val="24"/>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1</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VEINTIOCHO DÍAS DEL MES DE OCTUBRE DEL AÑO DOS MIL NUEVE.- </w:t>
      </w:r>
    </w:p>
    <w:p>
      <w:pPr>
        <w:pStyle w:val="P16"/>
        <w:ind w:left="113"/>
        <w:jc w:val="both"/>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6727B5C"/>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47B6C96"/>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6E97F08"/>
    <w:multiLevelType w:val="multilevel"/>
    <w:lvl w:ilvl="0">
      <w:start w:val="3"/>
      <w:numFmt w:val="lowerLetter"/>
      <w:suff w:val="tab"/>
      <w:lvlText w:val="%1)"/>
      <w:legacy w:legacy="1" w:legacyIndent="0" w:legacySpace="0"/>
      <w:lvlJc w:val="left"/>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3515353F"/>
    <w:multiLevelType w:val="hybridMultilevel"/>
    <w:lvl w:ilvl="0" w:tplc="069E341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4C661CEC"/>
    <w:multiLevelType w:val="hybridMultilevel"/>
    <w:lvl w:ilvl="0" w:tplc="02AE3D30">
      <w:start w:val="2"/>
      <w:numFmt w:val="bullet"/>
      <w:suff w:val="tab"/>
      <w:lvlText w:val="-"/>
      <w:lvlJc w:val="left"/>
      <w:pPr>
        <w:ind w:hanging="360" w:left="1080"/>
        <w:tabs>
          <w:tab w:val="left" w:pos="1080" w:leader="none"/>
        </w:tabs>
      </w:pPr>
      <w:rPr>
        <w:rFonts w:ascii="Courier New" w:hAnsi="Courier New"/>
      </w:rPr>
    </w:lvl>
    <w:lvl w:ilvl="1" w:tplc="7609C3DC">
      <w:start w:val="1"/>
      <w:numFmt w:val="bullet"/>
      <w:suff w:val="tab"/>
      <w:lvlText w:val="o"/>
      <w:lvlJc w:val="left"/>
      <w:pPr>
        <w:ind w:hanging="360" w:left="1800"/>
        <w:tabs>
          <w:tab w:val="left" w:pos="1800" w:leader="none"/>
        </w:tabs>
      </w:pPr>
      <w:rPr>
        <w:rFonts w:ascii="Courier New" w:hAnsi="Courier New"/>
      </w:rPr>
    </w:lvl>
    <w:lvl w:ilvl="2" w:tplc="640C234E">
      <w:start w:val="1"/>
      <w:numFmt w:val="bullet"/>
      <w:suff w:val="tab"/>
      <w:lvlText w:val=""/>
      <w:lvlJc w:val="left"/>
      <w:pPr>
        <w:ind w:hanging="360" w:left="2520"/>
        <w:tabs>
          <w:tab w:val="left" w:pos="2520" w:leader="none"/>
        </w:tabs>
      </w:pPr>
      <w:rPr>
        <w:rFonts w:ascii="Wingdings" w:hAnsi="Wingdings"/>
      </w:rPr>
    </w:lvl>
    <w:lvl w:ilvl="3" w:tplc="04E32AA9">
      <w:start w:val="1"/>
      <w:numFmt w:val="bullet"/>
      <w:suff w:val="tab"/>
      <w:lvlText w:val=""/>
      <w:lvlJc w:val="left"/>
      <w:pPr>
        <w:ind w:hanging="360" w:left="3240"/>
        <w:tabs>
          <w:tab w:val="left" w:pos="3240" w:leader="none"/>
        </w:tabs>
      </w:pPr>
      <w:rPr>
        <w:rFonts w:ascii="Symbol" w:hAnsi="Symbol"/>
      </w:rPr>
    </w:lvl>
    <w:lvl w:ilvl="4" w:tplc="5B0E325F">
      <w:start w:val="1"/>
      <w:numFmt w:val="bullet"/>
      <w:suff w:val="tab"/>
      <w:lvlText w:val="o"/>
      <w:lvlJc w:val="left"/>
      <w:pPr>
        <w:ind w:hanging="360" w:left="3960"/>
        <w:tabs>
          <w:tab w:val="left" w:pos="3960" w:leader="none"/>
        </w:tabs>
      </w:pPr>
      <w:rPr>
        <w:rFonts w:ascii="Courier New" w:hAnsi="Courier New"/>
      </w:rPr>
    </w:lvl>
    <w:lvl w:ilvl="5" w:tplc="4CFFA90D">
      <w:start w:val="1"/>
      <w:numFmt w:val="bullet"/>
      <w:suff w:val="tab"/>
      <w:lvlText w:val=""/>
      <w:lvlJc w:val="left"/>
      <w:pPr>
        <w:ind w:hanging="360" w:left="4680"/>
        <w:tabs>
          <w:tab w:val="left" w:pos="4680" w:leader="none"/>
        </w:tabs>
      </w:pPr>
      <w:rPr>
        <w:rFonts w:ascii="Wingdings" w:hAnsi="Wingdings"/>
      </w:rPr>
    </w:lvl>
    <w:lvl w:ilvl="6" w:tplc="0943A8FA">
      <w:start w:val="1"/>
      <w:numFmt w:val="bullet"/>
      <w:suff w:val="tab"/>
      <w:lvlText w:val=""/>
      <w:lvlJc w:val="left"/>
      <w:pPr>
        <w:ind w:hanging="360" w:left="5400"/>
        <w:tabs>
          <w:tab w:val="left" w:pos="5400" w:leader="none"/>
        </w:tabs>
      </w:pPr>
      <w:rPr>
        <w:rFonts w:ascii="Symbol" w:hAnsi="Symbol"/>
      </w:rPr>
    </w:lvl>
    <w:lvl w:ilvl="7" w:tplc="2B3361B6">
      <w:start w:val="1"/>
      <w:numFmt w:val="bullet"/>
      <w:suff w:val="tab"/>
      <w:lvlText w:val="o"/>
      <w:lvlJc w:val="left"/>
      <w:pPr>
        <w:ind w:hanging="360" w:left="6120"/>
        <w:tabs>
          <w:tab w:val="left" w:pos="6120" w:leader="none"/>
        </w:tabs>
      </w:pPr>
      <w:rPr>
        <w:rFonts w:ascii="Courier New" w:hAnsi="Courier New"/>
      </w:rPr>
    </w:lvl>
    <w:lvl w:ilvl="8" w:tplc="6D753EBF">
      <w:start w:val="1"/>
      <w:numFmt w:val="bullet"/>
      <w:suff w:val="tab"/>
      <w:lvlText w:val=""/>
      <w:lvlJc w:val="left"/>
      <w:pPr>
        <w:ind w:hanging="360" w:left="6840"/>
        <w:tabs>
          <w:tab w:val="left" w:pos="6840" w:leader="none"/>
        </w:tabs>
      </w:pPr>
      <w:rPr>
        <w:rFonts w:ascii="Wingdings" w:hAnsi="Wingdings"/>
      </w:rPr>
    </w:lvl>
  </w:abstractNum>
  <w:abstractNum w:abstractNumId="15">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80F0590"/>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5CFC09B3"/>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6">
    <w:nsid w:val="7743240E"/>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777B0B1B"/>
    <w:multiLevelType w:val="hybridMultilevel"/>
    <w:lvl w:ilvl="0" w:tplc="5F75F02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1"/>
  </w:num>
  <w:num w:numId="2">
    <w:abstractNumId w:val="19"/>
  </w:num>
  <w:num w:numId="3">
    <w:abstractNumId w:val="4"/>
  </w:num>
  <w:num w:numId="4">
    <w:abstractNumId w:val="7"/>
  </w:num>
  <w:num w:numId="5">
    <w:abstractNumId w:val="23"/>
  </w:num>
  <w:num w:numId="6">
    <w:abstractNumId w:val="24"/>
  </w:num>
  <w:num w:numId="7">
    <w:abstractNumId w:val="16"/>
  </w:num>
  <w:num w:numId="8">
    <w:abstractNumId w:val="14"/>
  </w:num>
  <w:num w:numId="9">
    <w:abstractNumId w:val="21"/>
  </w:num>
  <w:num w:numId="10">
    <w:abstractNumId w:val="25"/>
  </w:num>
  <w:num w:numId="11">
    <w:abstractNumId w:val="0"/>
  </w:num>
  <w:num w:numId="12">
    <w:abstractNumId w:val="13"/>
  </w:num>
  <w:num w:numId="13">
    <w:abstractNumId w:val="12"/>
  </w:num>
  <w:num w:numId="14">
    <w:abstractNumId w:val="15"/>
  </w:num>
  <w:num w:numId="15">
    <w:abstractNumId w:val="20"/>
  </w:num>
  <w:num w:numId="16">
    <w:abstractNumId w:val="10"/>
  </w:num>
  <w:num w:numId="17">
    <w:abstractNumId w:val="27"/>
  </w:num>
  <w:num w:numId="18">
    <w:abstractNumId w:val="9"/>
  </w:num>
  <w:num w:numId="19">
    <w:abstractNumId w:val="2"/>
  </w:num>
  <w:num w:numId="20">
    <w:abstractNumId w:val="22"/>
  </w:num>
  <w:num w:numId="21">
    <w:abstractNumId w:val="3"/>
  </w:num>
  <w:num w:numId="22">
    <w:abstractNumId w:val="6"/>
  </w:num>
  <w:num w:numId="23">
    <w:abstractNumId w:val="8"/>
  </w:num>
  <w:num w:numId="24">
    <w:abstractNumId w:val="18"/>
  </w:num>
  <w:num w:numId="25">
    <w:abstractNumId w:val="5"/>
  </w:num>
  <w:num w:numId="26">
    <w:abstractNumId w:val="26"/>
  </w:num>
  <w:num w:numId="27">
    <w:abstractNumId w:val="17"/>
  </w:num>
  <w:num w:numId="2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2009-10-31T02:08:00Z</dcterms:created>
  <cp:lastModifiedBy>Ethan Puglia</cp:lastModifiedBy>
  <cp:lastPrinted>2009-11-03T03:22:00Z</cp:lastPrinted>
  <dcterms:modified xsi:type="dcterms:W3CDTF">2019-03-28T17:34:15Z</dcterms:modified>
  <cp:revision>15</cp:revision>
  <dc:title>PROYECTO DE ORDENANZA VIOLENCIA FAMILIAR</dc:title>
</cp:coreProperties>
</file>