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C6E86AD" Type="http://schemas.openxmlformats.org/officeDocument/2006/relationships/officeDocument" Target="/word/document.xml" /><Relationship Id="coreR5C6E86A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rPr>
          <w:rStyle w:val="C3"/>
        </w:rPr>
      </w:pPr>
    </w:p>
    <w:p>
      <w:pPr>
        <w:pStyle w:val="P4"/>
      </w:pPr>
      <w:r>
        <w:t>ORDENANZA N° 8509</w:t>
      </w:r>
    </w:p>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532/I/09; y</w:t>
      </w:r>
    </w:p>
    <w:p>
      <w:pPr>
        <w:rPr>
          <w:rStyle w:val="C3"/>
        </w:rPr>
      </w:pPr>
    </w:p>
    <w:p>
      <w:pPr>
        <w:pStyle w:val="P2"/>
        <w:rPr>
          <w:rStyle w:val="C3"/>
        </w:rPr>
      </w:pPr>
    </w:p>
    <w:p>
      <w:pPr>
        <w:pStyle w:val="P2"/>
      </w:pPr>
      <w:r>
        <w:t>C O N S I D E R A N D O</w:t>
      </w:r>
    </w:p>
    <w:p/>
    <w:p/>
    <w:p>
      <w:pPr>
        <w:ind w:left="540"/>
        <w:jc w:val="both"/>
        <w:rPr>
          <w:rStyle w:val="C3"/>
          <w:rFonts w:ascii="Courier New" w:hAnsi="Courier New"/>
        </w:rPr>
      </w:pPr>
      <w:r>
        <w:rPr>
          <w:rStyle w:val="C3"/>
          <w:rFonts w:ascii="Courier New" w:hAnsi="Courier New"/>
        </w:rPr>
        <w:t>Que el mismo fue elevado por el Departamento Ejecutivo con un convenio de pago de deudas previsionales a la Caja de Abogados y Procuradores de la Provincia de Córdoba;</w:t>
      </w:r>
    </w:p>
    <w:p>
      <w:pPr>
        <w:ind w:left="540"/>
        <w:jc w:val="both"/>
        <w:rPr>
          <w:rStyle w:val="C3"/>
          <w:rFonts w:ascii="Courier New" w:hAnsi="Courier New"/>
        </w:rPr>
      </w:pPr>
    </w:p>
    <w:p>
      <w:pPr>
        <w:ind w:left="540"/>
        <w:jc w:val="both"/>
        <w:rPr>
          <w:rStyle w:val="C3"/>
          <w:rFonts w:ascii="Courier New" w:hAnsi="Courier New"/>
        </w:rPr>
      </w:pPr>
      <w:r>
        <w:rPr>
          <w:rStyle w:val="C3"/>
          <w:rFonts w:ascii="Courier New" w:hAnsi="Courier New"/>
        </w:rPr>
        <w:t xml:space="preserve">Que a Fs. 21/23 del citado Expediente  obra dictamen de Asesoría Letrada, en el que se manifiesta por demás conveniente el acuerdo establecido, por lo que aconseja se suscriba el Convenio de referencia;</w:t>
      </w:r>
    </w:p>
    <w:p>
      <w:pPr>
        <w:ind w:left="540"/>
        <w:jc w:val="both"/>
        <w:rPr>
          <w:rStyle w:val="C3"/>
          <w:rFonts w:ascii="Courier New" w:hAnsi="Courier New"/>
        </w:rPr>
      </w:pPr>
    </w:p>
    <w:p>
      <w:pPr>
        <w:ind w:left="540"/>
        <w:jc w:val="both"/>
        <w:rPr>
          <w:rStyle w:val="C3"/>
          <w:rFonts w:ascii="Courier New" w:hAnsi="Courier New"/>
        </w:rPr>
      </w:pPr>
      <w:r>
        <w:rPr>
          <w:rStyle w:val="C3"/>
          <w:rFonts w:ascii="Courier New" w:hAnsi="Courier New"/>
        </w:rPr>
        <w:t>Que se encuentra vigente la aplicación del Art. 20 Bis. de la Ley Nº 6468 t.o. 8404 “Diferimiento de Aportes cuando se trate de juicios iniciados que persiguen el cobro de impuestos, por el Fisco Nacional, Entidades Autárquicas, Municipios, Comunas, y Comunidades Regionales de la Provincia, se podrá diferir el pago de aportes previstos por el Art.17° de la presente Ley;</w:t>
      </w:r>
    </w:p>
    <w:p>
      <w:pPr>
        <w:ind w:left="540"/>
        <w:jc w:val="both"/>
        <w:rPr>
          <w:rStyle w:val="C3"/>
          <w:rFonts w:ascii="Courier New" w:hAnsi="Courier New"/>
        </w:rPr>
      </w:pPr>
      <w:r>
        <w:rPr>
          <w:rStyle w:val="C3"/>
          <w:rFonts w:ascii="Courier New" w:hAnsi="Courier New"/>
        </w:rPr>
        <w:t xml:space="preserve">                                                           </w:t>
      </w:r>
    </w:p>
    <w:p>
      <w:pPr>
        <w:pStyle w:val="P12"/>
        <w:ind w:left="561"/>
      </w:pPr>
      <w:r>
        <w:t>Que a Fs.14 obra Convenio de pago de Honorarios Profesionales suscripto entre el Dr. Paulo A. Casciotta, y el Sr. Intendente Municipal Lic. Mario Alberto R. Bonfigli;</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el Concejo en Comisión, el mismo emite despacho favorable, aprobado por Unanimidad en Sesión Ordinaria del día 28 de Octubre de 2009;</w:t>
      </w:r>
    </w:p>
    <w:p>
      <w:pPr>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5"/>
        <w:tabs>
          <w:tab w:val="clear" w:pos="4252" w:leader="none"/>
          <w:tab w:val="clear" w:pos="8504" w:leader="none"/>
        </w:tabs>
        <w:rPr>
          <w:rStyle w:val="C3"/>
          <w:rFonts w:ascii="Courier New" w:hAnsi="Courier New"/>
        </w:rPr>
      </w:pPr>
      <w:r>
        <w:rPr>
          <w:rStyle w:val="C3"/>
          <w:rFonts w:ascii="Courier New" w:hAnsi="Courier New"/>
        </w:rPr>
        <w:t>...///2.-</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right"/>
        <w:rPr>
          <w:rStyle w:val="C3"/>
          <w:rFonts w:ascii="Courier New" w:hAnsi="Courier New"/>
        </w:rPr>
      </w:pP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540" w:left="540"/>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AUTORIZAR</w:t>
      </w:r>
      <w:r>
        <w:rPr>
          <w:rStyle w:val="C3"/>
          <w:rFonts w:ascii="Courier New" w:hAnsi="Courier New"/>
        </w:rPr>
        <w:t xml:space="preserve"> al Departamento Ejecutivo a suscribir el convenio de pago de deudas previsionales que se acompaña en el Expediente Nº 532/I/09 con la Caja de Previsión Social de Abogados y Procuradores de la Provincia de Córdoba.-</w:t>
      </w:r>
    </w:p>
    <w:p>
      <w:pPr>
        <w:ind w:hanging="540" w:left="540"/>
        <w:jc w:val="both"/>
        <w:rPr>
          <w:rStyle w:val="C3"/>
          <w:rFonts w:ascii="Courier New" w:hAnsi="Courier New"/>
          <w:b w:val="1"/>
          <w:u w:val="single"/>
        </w:rPr>
      </w:pPr>
    </w:p>
    <w:p>
      <w:pPr>
        <w:ind w:hanging="540" w:left="540"/>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 xml:space="preserve">a suscribir el convenio de pago de Honorarios Profesionales entre el Dr. Paulo A. Casciotta, y el Sr. Intendente Municipal, Lic. Mario Alberto R. Bonfigli conforme las cláusulas estipuladas.-      </w:t>
      </w:r>
    </w:p>
    <w:p>
      <w:pPr>
        <w:ind w:hanging="540" w:left="540"/>
        <w:jc w:val="both"/>
        <w:rPr>
          <w:rStyle w:val="C3"/>
          <w:rFonts w:ascii="Courier New" w:hAnsi="Courier New"/>
          <w:b w:val="1"/>
          <w:u w:val="single"/>
        </w:rPr>
      </w:pPr>
    </w:p>
    <w:p>
      <w:pPr>
        <w:ind w:hanging="540" w:left="540"/>
        <w:jc w:val="both"/>
        <w:rPr>
          <w:rStyle w:val="C3"/>
          <w:rFonts w:ascii="Courier New" w:hAnsi="Courier New"/>
        </w:rPr>
      </w:pPr>
      <w:r>
        <w:rPr>
          <w:rStyle w:val="C3"/>
          <w:rFonts w:ascii="Courier New" w:hAnsi="Courier New"/>
          <w:b w:val="1"/>
          <w:u w:val="single"/>
        </w:rPr>
        <w:t>Art.3</w:t>
      </w:r>
      <w:r>
        <w:rPr>
          <w:rStyle w:val="C3"/>
          <w:rFonts w:ascii="Courier New" w:hAnsi="Courier New"/>
          <w:b w:val="1"/>
        </w:rPr>
        <w:t>: SE</w:t>
      </w:r>
      <w:r>
        <w:rPr>
          <w:rStyle w:val="C3"/>
          <w:rFonts w:ascii="Courier New" w:hAnsi="Courier New"/>
        </w:rPr>
        <w:t xml:space="preserve"> deberá dar estricto cumplimiento al Art.20° Bis, de la Ley N° 6468 t.o. 8404 y a la Resolución Reglamentarias N° 12351 de fecha 26 de Julio de 1982,  a partir de la suscripción del convenio mencionado en el Art.1° de la presente Ordenanza.- </w:t>
      </w:r>
    </w:p>
    <w:p>
      <w:pPr>
        <w:ind w:hanging="561" w:left="561"/>
        <w:jc w:val="both"/>
        <w:rPr>
          <w:rStyle w:val="C3"/>
          <w:rFonts w:ascii="Courier New" w:hAnsi="Courier New"/>
          <w:b w:val="1"/>
          <w:u w:val="single"/>
        </w:rPr>
      </w:pPr>
    </w:p>
    <w:p>
      <w:pPr>
        <w:ind w:hanging="374" w:left="374"/>
        <w:jc w:val="both"/>
        <w:rPr>
          <w:rStyle w:val="C3"/>
          <w:rFonts w:ascii="Courier New" w:hAnsi="Courier New"/>
          <w:b w:val="1"/>
        </w:rPr>
      </w:pPr>
      <w:r>
        <w:rPr>
          <w:rStyle w:val="C3"/>
          <w:rFonts w:ascii="Courier New" w:hAnsi="Courier New"/>
          <w:b w:val="1"/>
          <w:u w:val="single"/>
        </w:rPr>
        <w:t>Art.4</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pStyle w:val="P17"/>
        <w:rPr>
          <w:rStyle w:val="C3"/>
        </w:rPr>
      </w:pPr>
    </w:p>
    <w:p>
      <w:pPr>
        <w:pStyle w:val="P17"/>
      </w:pPr>
      <w:r>
        <w:t xml:space="preserve">DADA EN LA SALA DE SESIONES DEL HONORABLE CONCEJO DELIBERANTE A LOS VEINTIOCHO DÍAS DEL MES DE OCTUBRE DEL AÑO DOS MIL NUEVE.- </w:t>
      </w:r>
    </w:p>
    <w:p>
      <w:pPr>
        <w:pStyle w:val="P16"/>
        <w:ind w:left="113"/>
        <w:jc w:val="both"/>
        <w:rPr>
          <w:rStyle w:val="C3"/>
          <w:rFonts w:ascii="JaneAusten" w:hAnsi="JaneAusten"/>
          <w:b w:val="1"/>
          <w:sz w:val="24"/>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7">
    <w:nsid w:val="3515353F"/>
    <w:multiLevelType w:val="hybridMultilevel"/>
    <w:lvl w:ilvl="0" w:tplc="300B579E">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1">
    <w:nsid w:val="4C661CEC"/>
    <w:multiLevelType w:val="hybridMultilevel"/>
    <w:lvl w:ilvl="0" w:tplc="62A5865E">
      <w:start w:val="2"/>
      <w:numFmt w:val="bullet"/>
      <w:suff w:val="tab"/>
      <w:lvlText w:val="-"/>
      <w:lvlJc w:val="left"/>
      <w:pPr>
        <w:ind w:hanging="360" w:left="1080"/>
        <w:tabs>
          <w:tab w:val="left" w:pos="1080" w:leader="none"/>
        </w:tabs>
      </w:pPr>
      <w:rPr>
        <w:rFonts w:ascii="Courier New" w:hAnsi="Courier New"/>
      </w:rPr>
    </w:lvl>
    <w:lvl w:ilvl="1" w:tplc="1F105E7F">
      <w:start w:val="1"/>
      <w:numFmt w:val="bullet"/>
      <w:suff w:val="tab"/>
      <w:lvlText w:val="o"/>
      <w:lvlJc w:val="left"/>
      <w:pPr>
        <w:ind w:hanging="360" w:left="1800"/>
        <w:tabs>
          <w:tab w:val="left" w:pos="1800" w:leader="none"/>
        </w:tabs>
      </w:pPr>
      <w:rPr>
        <w:rFonts w:ascii="Courier New" w:hAnsi="Courier New"/>
      </w:rPr>
    </w:lvl>
    <w:lvl w:ilvl="2" w:tplc="0292B079">
      <w:start w:val="1"/>
      <w:numFmt w:val="bullet"/>
      <w:suff w:val="tab"/>
      <w:lvlText w:val=""/>
      <w:lvlJc w:val="left"/>
      <w:pPr>
        <w:ind w:hanging="360" w:left="2520"/>
        <w:tabs>
          <w:tab w:val="left" w:pos="2520" w:leader="none"/>
        </w:tabs>
      </w:pPr>
      <w:rPr>
        <w:rFonts w:ascii="Wingdings" w:hAnsi="Wingdings"/>
      </w:rPr>
    </w:lvl>
    <w:lvl w:ilvl="3" w:tplc="7A57576E">
      <w:start w:val="1"/>
      <w:numFmt w:val="bullet"/>
      <w:suff w:val="tab"/>
      <w:lvlText w:val=""/>
      <w:lvlJc w:val="left"/>
      <w:pPr>
        <w:ind w:hanging="360" w:left="3240"/>
        <w:tabs>
          <w:tab w:val="left" w:pos="3240" w:leader="none"/>
        </w:tabs>
      </w:pPr>
      <w:rPr>
        <w:rFonts w:ascii="Symbol" w:hAnsi="Symbol"/>
      </w:rPr>
    </w:lvl>
    <w:lvl w:ilvl="4" w:tplc="38EA039D">
      <w:start w:val="1"/>
      <w:numFmt w:val="bullet"/>
      <w:suff w:val="tab"/>
      <w:lvlText w:val="o"/>
      <w:lvlJc w:val="left"/>
      <w:pPr>
        <w:ind w:hanging="360" w:left="3960"/>
        <w:tabs>
          <w:tab w:val="left" w:pos="3960" w:leader="none"/>
        </w:tabs>
      </w:pPr>
      <w:rPr>
        <w:rFonts w:ascii="Courier New" w:hAnsi="Courier New"/>
      </w:rPr>
    </w:lvl>
    <w:lvl w:ilvl="5" w:tplc="6C47B64F">
      <w:start w:val="1"/>
      <w:numFmt w:val="bullet"/>
      <w:suff w:val="tab"/>
      <w:lvlText w:val=""/>
      <w:lvlJc w:val="left"/>
      <w:pPr>
        <w:ind w:hanging="360" w:left="4680"/>
        <w:tabs>
          <w:tab w:val="left" w:pos="4680" w:leader="none"/>
        </w:tabs>
      </w:pPr>
      <w:rPr>
        <w:rFonts w:ascii="Wingdings" w:hAnsi="Wingdings"/>
      </w:rPr>
    </w:lvl>
    <w:lvl w:ilvl="6" w:tplc="094A23BB">
      <w:start w:val="1"/>
      <w:numFmt w:val="bullet"/>
      <w:suff w:val="tab"/>
      <w:lvlText w:val=""/>
      <w:lvlJc w:val="left"/>
      <w:pPr>
        <w:ind w:hanging="360" w:left="5400"/>
        <w:tabs>
          <w:tab w:val="left" w:pos="5400" w:leader="none"/>
        </w:tabs>
      </w:pPr>
      <w:rPr>
        <w:rFonts w:ascii="Symbol" w:hAnsi="Symbol"/>
      </w:rPr>
    </w:lvl>
    <w:lvl w:ilvl="7" w:tplc="21F9CC79">
      <w:start w:val="1"/>
      <w:numFmt w:val="bullet"/>
      <w:suff w:val="tab"/>
      <w:lvlText w:val="o"/>
      <w:lvlJc w:val="left"/>
      <w:pPr>
        <w:ind w:hanging="360" w:left="6120"/>
        <w:tabs>
          <w:tab w:val="left" w:pos="6120" w:leader="none"/>
        </w:tabs>
      </w:pPr>
      <w:rPr>
        <w:rFonts w:ascii="Courier New" w:hAnsi="Courier New"/>
      </w:rPr>
    </w:lvl>
    <w:lvl w:ilvl="8" w:tplc="14AE0C19">
      <w:start w:val="1"/>
      <w:numFmt w:val="bullet"/>
      <w:suff w:val="tab"/>
      <w:lvlText w:val=""/>
      <w:lvlJc w:val="left"/>
      <w:pPr>
        <w:ind w:hanging="360" w:left="6840"/>
        <w:tabs>
          <w:tab w:val="left" w:pos="6840" w:leader="none"/>
        </w:tabs>
      </w:pPr>
      <w:rPr>
        <w:rFonts w:ascii="Wingdings" w:hAnsi="Wingdings"/>
      </w:rPr>
    </w:lvl>
  </w:abstractNum>
  <w:abstractNum w:abstractNumId="12">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1">
    <w:nsid w:val="777B0B1B"/>
    <w:multiLevelType w:val="hybridMultilevel"/>
    <w:lvl w:ilvl="0" w:tplc="5D9C646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8"/>
  </w:num>
  <w:num w:numId="2">
    <w:abstractNumId w:val="14"/>
  </w:num>
  <w:num w:numId="3">
    <w:abstractNumId w:val="3"/>
  </w:num>
  <w:num w:numId="4">
    <w:abstractNumId w:val="5"/>
  </w:num>
  <w:num w:numId="5">
    <w:abstractNumId w:val="18"/>
  </w:num>
  <w:num w:numId="6">
    <w:abstractNumId w:val="19"/>
  </w:num>
  <w:num w:numId="7">
    <w:abstractNumId w:val="13"/>
  </w:num>
  <w:num w:numId="8">
    <w:abstractNumId w:val="11"/>
  </w:num>
  <w:num w:numId="9">
    <w:abstractNumId w:val="16"/>
  </w:num>
  <w:num w:numId="10">
    <w:abstractNumId w:val="20"/>
  </w:num>
  <w:num w:numId="11">
    <w:abstractNumId w:val="0"/>
  </w:num>
  <w:num w:numId="12">
    <w:abstractNumId w:val="10"/>
  </w:num>
  <w:num w:numId="13">
    <w:abstractNumId w:val="9"/>
  </w:num>
  <w:num w:numId="14">
    <w:abstractNumId w:val="12"/>
  </w:num>
  <w:num w:numId="15">
    <w:abstractNumId w:val="15"/>
  </w:num>
  <w:num w:numId="16">
    <w:abstractNumId w:val="7"/>
  </w:num>
  <w:num w:numId="17">
    <w:abstractNumId w:val="21"/>
  </w:num>
  <w:num w:numId="18">
    <w:abstractNumId w:val="6"/>
  </w:num>
  <w:num w:numId="19">
    <w:abstractNumId w:val="1"/>
  </w:num>
  <w:num w:numId="20">
    <w:abstractNumId w:val="17"/>
  </w:num>
  <w:num w:numId="21">
    <w:abstractNumId w:val="2"/>
  </w:num>
  <w:num w:numId="22">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2009-10-31T02:59:00Z</dcterms:created>
  <cp:lastModifiedBy>Ethan Puglia</cp:lastModifiedBy>
  <cp:lastPrinted>2009-10-31T02:58:00Z</cp:lastPrinted>
  <dcterms:modified xsi:type="dcterms:W3CDTF">2019-03-28T17:34:15Z</dcterms:modified>
  <cp:revision>7</cp:revision>
  <dc:title>PROYECTO DE ORDENANZA VIOLENCIA FAMILIAR</dc:title>
</cp:coreProperties>
</file>