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03FD4D" Type="http://schemas.openxmlformats.org/officeDocument/2006/relationships/officeDocument" Target="/word/document.xml" /><Relationship Id="coreR3A03FD4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8516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1010/09 referido al proyecto de Videoteca; y</w:t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2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películas en un principio fueron retratos en movimientos de la realidad;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primera exhibición cinematográfica pública fue realizada el 28 de Diciembre de 1895 en París ante 33 personas;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así surgieron los primeros estudios cinematográficos y las productoras;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las recreaciones de hechos bíblicos y del pasado, el cine acrecentó su carácter de espectáculo;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así algunos actores empezaron a ser reconocidos y seguidos por el gran público;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televisión por aire, la televisión por cable y el video fueron acrecentando progresivamente las presencia de películas en los hogares y la concurrencia a las salas cinematográficas declinó proporcionalmente;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actualidad las estadísticas nos indican que vemos diez veces más películas que cuando concurríamos al cine, porque la oferta televisiva y de los videoclubes es muy superior en número a la de los cines;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existencia de videotecas que posean y difundan películas con contenidos formativos son de gran utilidad para una sociedad predispuesta audiovisualmente como la nuestra;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cinematografía nacional e internacional cuenta en la actualidad con una cantidad enorme de películas que, por calidad y cantidad, justifica desde hace tiempo la existencia de videotecas en cada ciudad;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de referencia por la Comisión de Cultura, Turismo y Deportes, la misma emite despacho favorable, aprobado por Unanimidad en Sesión Ordinaria del día 11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b w:val="1"/>
        </w:rPr>
        <w:t>CRÉASE</w:t>
      </w:r>
      <w:r>
        <w:t xml:space="preserve"> la Videoteca Municipal, la que funcionará en dependencias de la Secretaría de Cultura.-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Secretaría de Cultura, deberá constituir una asociación civil, sin fines de lucro la que gestionará dentro del ámbito público y/o privado el equipamiento para el correcto funcionamiento de la videoteca.-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Secretaría de Cultura a través de la asociación civil deberá realizar proyecciones de películas o ciclos de cine en instituciones educativas, centros vecinales, hospitales, instituciones psiquiátricas, hogares de ancianos y otros.-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acceso a las películas, libros, revistas especializadas será público y gratuito.-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videoteca se abocará a la tarea de digitalizar el patrimonio audiovisual de Alta Gracia y el Departamento Santa María.-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videoteca realizará cursos, talleres y seminarios vinculados al ámbito de lo audiovisual, así como ciclos de cine y festivales.-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776E1EC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52BB40F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89B9F4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4B6DEC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7F91AC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D70AF8A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0A90C00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EAD67E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7A151D2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FEA7F5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13FF1EB0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E7D986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49949E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526563A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77B683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0D9C62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9F8807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690601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6A4F77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6DBEEF5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2009-11-13T02:07:00Z</dcterms:created>
  <cp:lastModifiedBy>Ethan Puglia</cp:lastModifiedBy>
  <cp:lastPrinted>2009-11-13T02:40:00Z</cp:lastPrinted>
  <dcterms:modified xsi:type="dcterms:W3CDTF">2019-03-28T17:34:15Z</dcterms:modified>
  <cp:revision>8</cp:revision>
  <dc:title>PROYECTO DE ORDENANZA VIOLENCIA FAMILIAR</dc:title>
</cp:coreProperties>
</file>