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702834" Type="http://schemas.openxmlformats.org/officeDocument/2006/relationships/officeDocument" Target="/word/document.xml" /><Relationship Id="coreR687028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8517</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 1294 “Código de Edificación y Urbanización de la Ciudad de Alta Gracia” y sus modificatorias; y</w:t>
      </w:r>
    </w:p>
    <w:p>
      <w:pPr>
        <w:rPr>
          <w:rStyle w:val="C3"/>
        </w:rPr>
      </w:pPr>
    </w:p>
    <w:p>
      <w:pPr>
        <w:rPr>
          <w:rStyle w:val="C3"/>
        </w:rPr>
      </w:pPr>
    </w:p>
    <w:p>
      <w:pPr>
        <w:rPr>
          <w:rStyle w:val="C3"/>
        </w:rPr>
      </w:pPr>
    </w:p>
    <w:p>
      <w:pPr>
        <w:pStyle w:val="P2"/>
      </w:pPr>
      <w:r>
        <w:t>C O N S I D E R A N D O</w:t>
      </w:r>
    </w:p>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el crecimiento urbanístico – demográfico ya se ha instalado sobre zonas que no son contempladas por este código;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siempre el crecimiento debe ser regulado y no arbitrario, para lograr orden y bienestar social;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tal cual lo plantean los fundamentos del estudiado Plan de Ordenamiento Urbano de Alta Gracia, existe para el norte de la Ciudad un potencial de crecimiento urbanístico demográfico como lo son B° Villa Camiares y B° Portales del Sol;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vecinos en general están preocupados con respecto a la falta de legislación sobre la regulación del uso del suelo y las actividades que se podrían desarrollar en esta zona;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Plan de Ordenamiento Urbano elevado por el Ejecutivo Municipal, contempla la ampliación de la Zona Residencial hacia el loteo en cuestión y parcela;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frente a la parcela que figura en el Catastro Municipal como 1-1-502-1, ya se observa instalada algún tipo de emprendimiento “depósito” demostrando la necesidad de dar herramienta legislativa que ordene el crecimiento de esta zona;</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frente al Loteo que figura en el Catastro Municipal como 1-1-502-2, hoy Barrio Portales del Sol, no está contemplado por la Ordenanza N° 1294 “Código de Edificación y Urbanización de la Ciudad de Alta Gracia y sus modificatorias”;     </w:t>
      </w:r>
    </w:p>
    <w:p>
      <w:pPr>
        <w:ind w:hanging="374" w:left="374"/>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normativa legislativa no sólo legitima conductas sociales, sino también debe anteceder el posible y potencial desarrollo de cada zona;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de referencia por el Concejo en Comisión, el mismo emite despacho favorable, aprobado por Unanimidad en Sesión Ordinaria del día 11 de Noviembre de 2009;</w:t>
      </w: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pStyle w:val="P12"/>
        <w:ind w:hanging="561" w:left="561"/>
      </w:pPr>
      <w:r>
        <w:rPr>
          <w:rStyle w:val="C3"/>
          <w:b w:val="1"/>
          <w:u w:val="single"/>
        </w:rPr>
        <w:t>Art.1</w:t>
      </w:r>
      <w:r>
        <w:rPr>
          <w:rStyle w:val="C3"/>
          <w:b w:val="1"/>
        </w:rPr>
        <w:t>:</w:t>
      </w:r>
      <w:r>
        <w:t xml:space="preserve"> </w:t>
      </w:r>
      <w:r>
        <w:rPr>
          <w:rStyle w:val="C3"/>
          <w:b w:val="1"/>
        </w:rPr>
        <w:t>AMPLÍ</w:t>
      </w:r>
      <w:r>
        <w:rPr>
          <w:rStyle w:val="C3"/>
          <w:b w:val="1"/>
        </w:rPr>
        <w:t>ASE</w:t>
      </w:r>
      <w:r>
        <w:t xml:space="preserve"> la Zona Residencial Mixta establecida por Art.222° de la Ordenanza N° 1294 y su Modificatoria, a todo el loteo, cuya aprobación fue mediante la Ordenanza N° 8153 y promulgada mediante el Decreto N° 1193/08.-</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AMPLÍ</w:t>
      </w:r>
      <w:r>
        <w:rPr>
          <w:rStyle w:val="C3"/>
          <w:rFonts w:ascii="Courier New" w:hAnsi="Courier New"/>
          <w:b w:val="1"/>
        </w:rPr>
        <w:t xml:space="preserve">ASE </w:t>
      </w:r>
      <w:r>
        <w:rPr>
          <w:rStyle w:val="C3"/>
          <w:rFonts w:ascii="Courier New" w:hAnsi="Courier New"/>
        </w:rPr>
        <w:t>la zona Residencial Mixta establecida por el Art.222 de la Ordenanza N° 1294 y su modificatoria a la parcela designada por Catastro Municipal como 1-1-502-1.-</w:t>
      </w:r>
    </w:p>
    <w:p>
      <w:pPr>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pStyle w:val="P17"/>
        <w:rPr>
          <w:rStyle w:val="C3"/>
        </w:rPr>
      </w:pPr>
    </w:p>
    <w:p>
      <w:pPr>
        <w:pStyle w:val="P17"/>
      </w:pPr>
      <w:r>
        <w:t xml:space="preserve">DADA EN LA SALA DE SESIONES DEL HONORABLE CONCEJO DELIBERANTE A LOS ONCE DÍAS DEL MES DE NOVIEMBRE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7A1233B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3385EDD8">
      <w:start w:val="2"/>
      <w:numFmt w:val="bullet"/>
      <w:suff w:val="tab"/>
      <w:lvlText w:val="-"/>
      <w:lvlJc w:val="left"/>
      <w:pPr>
        <w:ind w:hanging="360" w:left="1080"/>
        <w:tabs>
          <w:tab w:val="left" w:pos="1080" w:leader="none"/>
        </w:tabs>
      </w:pPr>
      <w:rPr>
        <w:rFonts w:ascii="Courier New" w:hAnsi="Courier New"/>
      </w:rPr>
    </w:lvl>
    <w:lvl w:ilvl="1" w:tplc="33B943A8">
      <w:start w:val="1"/>
      <w:numFmt w:val="bullet"/>
      <w:suff w:val="tab"/>
      <w:lvlText w:val="o"/>
      <w:lvlJc w:val="left"/>
      <w:pPr>
        <w:ind w:hanging="360" w:left="1800"/>
        <w:tabs>
          <w:tab w:val="left" w:pos="1800" w:leader="none"/>
        </w:tabs>
      </w:pPr>
      <w:rPr>
        <w:rFonts w:ascii="Courier New" w:hAnsi="Courier New"/>
      </w:rPr>
    </w:lvl>
    <w:lvl w:ilvl="2" w:tplc="464276CD">
      <w:start w:val="1"/>
      <w:numFmt w:val="bullet"/>
      <w:suff w:val="tab"/>
      <w:lvlText w:val=""/>
      <w:lvlJc w:val="left"/>
      <w:pPr>
        <w:ind w:hanging="360" w:left="2520"/>
        <w:tabs>
          <w:tab w:val="left" w:pos="2520" w:leader="none"/>
        </w:tabs>
      </w:pPr>
      <w:rPr>
        <w:rFonts w:ascii="Wingdings" w:hAnsi="Wingdings"/>
      </w:rPr>
    </w:lvl>
    <w:lvl w:ilvl="3" w:tplc="6DEDECA4">
      <w:start w:val="1"/>
      <w:numFmt w:val="bullet"/>
      <w:suff w:val="tab"/>
      <w:lvlText w:val=""/>
      <w:lvlJc w:val="left"/>
      <w:pPr>
        <w:ind w:hanging="360" w:left="3240"/>
        <w:tabs>
          <w:tab w:val="left" w:pos="3240" w:leader="none"/>
        </w:tabs>
      </w:pPr>
      <w:rPr>
        <w:rFonts w:ascii="Symbol" w:hAnsi="Symbol"/>
      </w:rPr>
    </w:lvl>
    <w:lvl w:ilvl="4" w:tplc="6788FE8F">
      <w:start w:val="1"/>
      <w:numFmt w:val="bullet"/>
      <w:suff w:val="tab"/>
      <w:lvlText w:val="o"/>
      <w:lvlJc w:val="left"/>
      <w:pPr>
        <w:ind w:hanging="360" w:left="3960"/>
        <w:tabs>
          <w:tab w:val="left" w:pos="3960" w:leader="none"/>
        </w:tabs>
      </w:pPr>
      <w:rPr>
        <w:rFonts w:ascii="Courier New" w:hAnsi="Courier New"/>
      </w:rPr>
    </w:lvl>
    <w:lvl w:ilvl="5" w:tplc="61E56C9D">
      <w:start w:val="1"/>
      <w:numFmt w:val="bullet"/>
      <w:suff w:val="tab"/>
      <w:lvlText w:val=""/>
      <w:lvlJc w:val="left"/>
      <w:pPr>
        <w:ind w:hanging="360" w:left="4680"/>
        <w:tabs>
          <w:tab w:val="left" w:pos="4680" w:leader="none"/>
        </w:tabs>
      </w:pPr>
      <w:rPr>
        <w:rFonts w:ascii="Wingdings" w:hAnsi="Wingdings"/>
      </w:rPr>
    </w:lvl>
    <w:lvl w:ilvl="6" w:tplc="6EB3DCFB">
      <w:start w:val="1"/>
      <w:numFmt w:val="bullet"/>
      <w:suff w:val="tab"/>
      <w:lvlText w:val=""/>
      <w:lvlJc w:val="left"/>
      <w:pPr>
        <w:ind w:hanging="360" w:left="5400"/>
        <w:tabs>
          <w:tab w:val="left" w:pos="5400" w:leader="none"/>
        </w:tabs>
      </w:pPr>
      <w:rPr>
        <w:rFonts w:ascii="Symbol" w:hAnsi="Symbol"/>
      </w:rPr>
    </w:lvl>
    <w:lvl w:ilvl="7" w:tplc="10F1BBEB">
      <w:start w:val="1"/>
      <w:numFmt w:val="bullet"/>
      <w:suff w:val="tab"/>
      <w:lvlText w:val="o"/>
      <w:lvlJc w:val="left"/>
      <w:pPr>
        <w:ind w:hanging="360" w:left="6120"/>
        <w:tabs>
          <w:tab w:val="left" w:pos="6120" w:leader="none"/>
        </w:tabs>
      </w:pPr>
      <w:rPr>
        <w:rFonts w:ascii="Courier New" w:hAnsi="Courier New"/>
      </w:rPr>
    </w:lvl>
    <w:lvl w:ilvl="8" w:tplc="11752F8A">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0A950C68">
      <w:start w:val="1"/>
      <w:numFmt w:val="bullet"/>
      <w:suff w:val="tab"/>
      <w:lvlText w:val="-"/>
      <w:lvlJc w:val="left"/>
      <w:pPr>
        <w:ind w:hanging="360" w:left="1080"/>
        <w:tabs>
          <w:tab w:val="left" w:pos="1080" w:leader="none"/>
        </w:tabs>
      </w:pPr>
      <w:rPr>
        <w:rFonts w:ascii="Courier New" w:hAnsi="Courier New"/>
      </w:rPr>
    </w:lvl>
    <w:lvl w:ilvl="1" w:tplc="19880880">
      <w:start w:val="1"/>
      <w:numFmt w:val="bullet"/>
      <w:suff w:val="tab"/>
      <w:lvlText w:val="o"/>
      <w:lvlJc w:val="left"/>
      <w:pPr>
        <w:ind w:hanging="360" w:left="1800"/>
        <w:tabs>
          <w:tab w:val="left" w:pos="1800" w:leader="none"/>
        </w:tabs>
      </w:pPr>
      <w:rPr>
        <w:rFonts w:ascii="Courier New" w:hAnsi="Courier New"/>
      </w:rPr>
    </w:lvl>
    <w:lvl w:ilvl="2" w:tplc="26F860E0">
      <w:start w:val="1"/>
      <w:numFmt w:val="bullet"/>
      <w:suff w:val="tab"/>
      <w:lvlText w:val=""/>
      <w:lvlJc w:val="left"/>
      <w:pPr>
        <w:ind w:hanging="360" w:left="2520"/>
        <w:tabs>
          <w:tab w:val="left" w:pos="2520" w:leader="none"/>
        </w:tabs>
      </w:pPr>
      <w:rPr>
        <w:rFonts w:ascii="Wingdings" w:hAnsi="Wingdings"/>
      </w:rPr>
    </w:lvl>
    <w:lvl w:ilvl="3" w:tplc="1EDDAA4F">
      <w:start w:val="1"/>
      <w:numFmt w:val="bullet"/>
      <w:suff w:val="tab"/>
      <w:lvlText w:val=""/>
      <w:lvlJc w:val="left"/>
      <w:pPr>
        <w:ind w:hanging="360" w:left="3240"/>
        <w:tabs>
          <w:tab w:val="left" w:pos="3240" w:leader="none"/>
        </w:tabs>
      </w:pPr>
      <w:rPr>
        <w:rFonts w:ascii="Symbol" w:hAnsi="Symbol"/>
      </w:rPr>
    </w:lvl>
    <w:lvl w:ilvl="4" w:tplc="7C6D5AA8">
      <w:start w:val="1"/>
      <w:numFmt w:val="bullet"/>
      <w:suff w:val="tab"/>
      <w:lvlText w:val="o"/>
      <w:lvlJc w:val="left"/>
      <w:pPr>
        <w:ind w:hanging="360" w:left="3960"/>
        <w:tabs>
          <w:tab w:val="left" w:pos="3960" w:leader="none"/>
        </w:tabs>
      </w:pPr>
      <w:rPr>
        <w:rFonts w:ascii="Courier New" w:hAnsi="Courier New"/>
      </w:rPr>
    </w:lvl>
    <w:lvl w:ilvl="5" w:tplc="505F88A3">
      <w:start w:val="1"/>
      <w:numFmt w:val="bullet"/>
      <w:suff w:val="tab"/>
      <w:lvlText w:val=""/>
      <w:lvlJc w:val="left"/>
      <w:pPr>
        <w:ind w:hanging="360" w:left="4680"/>
        <w:tabs>
          <w:tab w:val="left" w:pos="4680" w:leader="none"/>
        </w:tabs>
      </w:pPr>
      <w:rPr>
        <w:rFonts w:ascii="Wingdings" w:hAnsi="Wingdings"/>
      </w:rPr>
    </w:lvl>
    <w:lvl w:ilvl="6" w:tplc="7615FC16">
      <w:start w:val="1"/>
      <w:numFmt w:val="bullet"/>
      <w:suff w:val="tab"/>
      <w:lvlText w:val=""/>
      <w:lvlJc w:val="left"/>
      <w:pPr>
        <w:ind w:hanging="360" w:left="5400"/>
        <w:tabs>
          <w:tab w:val="left" w:pos="5400" w:leader="none"/>
        </w:tabs>
      </w:pPr>
      <w:rPr>
        <w:rFonts w:ascii="Symbol" w:hAnsi="Symbol"/>
      </w:rPr>
    </w:lvl>
    <w:lvl w:ilvl="7" w:tplc="66CB09F5">
      <w:start w:val="1"/>
      <w:numFmt w:val="bullet"/>
      <w:suff w:val="tab"/>
      <w:lvlText w:val="o"/>
      <w:lvlJc w:val="left"/>
      <w:pPr>
        <w:ind w:hanging="360" w:left="6120"/>
        <w:tabs>
          <w:tab w:val="left" w:pos="6120" w:leader="none"/>
        </w:tabs>
      </w:pPr>
      <w:rPr>
        <w:rFonts w:ascii="Courier New" w:hAnsi="Courier New"/>
      </w:rPr>
    </w:lvl>
    <w:lvl w:ilvl="8" w:tplc="0ED34CD9">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580E980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2009-11-13T03:17:00Z</dcterms:created>
  <cp:lastModifiedBy>Ethan Puglia</cp:lastModifiedBy>
  <cp:lastPrinted>2009-11-13T02:40:00Z</cp:lastPrinted>
  <dcterms:modified xsi:type="dcterms:W3CDTF">2019-03-28T17:34:15Z</dcterms:modified>
  <cp:revision>9</cp:revision>
  <dc:title>PROYECTO DE ORDENANZA VIOLENCIA FAMILIAR</dc:title>
</cp:coreProperties>
</file>