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1E37AAE" Type="http://schemas.openxmlformats.org/officeDocument/2006/relationships/officeDocument" Target="/word/document.xml" /><Relationship Id="coreR11E37AA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8528</w:t>
      </w:r>
    </w:p>
    <w:p/>
    <w:p/>
    <w:p>
      <w:pPr>
        <w:ind w:hanging="561" w:left="561"/>
        <w:jc w:val="both"/>
        <w:rPr>
          <w:rStyle w:val="C3"/>
          <w:rFonts w:ascii="Courier New" w:hAnsi="Courier New"/>
        </w:rPr>
      </w:pPr>
      <w:r>
        <w:rPr>
          <w:rStyle w:val="C3"/>
          <w:rFonts w:ascii="Courier New" w:hAnsi="Courier New"/>
        </w:rPr>
        <w:t>Visto: Los Expedientes Nº 109/I/97 y Nº 142/99, y las Ordenanzas Nº 6922 y 7395; y</w:t>
      </w:r>
    </w:p>
    <w:p>
      <w:pPr>
        <w:rPr>
          <w:rStyle w:val="C3"/>
        </w:rPr>
      </w:pPr>
    </w:p>
    <w:p>
      <w:pPr>
        <w:pStyle w:val="P2"/>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 xml:space="preserve">Que mediante las Ordenanzas Nº 6922 y 7395 se concedió, en cada caso, un plazo de 2 años de gracia en el pago del canon correspondiente a la concesión del Cementerio Parque a la Cooperativa Meridional Ltda.;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se mantienen las condiciones que dieron origen a las Ordenanzas citadas, como surge de los informes presentados por la Cooperativa y evaluados por las Áreas Municipales correspondientes;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Cooperativa en su nota aclara que las modalidades adoptadas en las Ordenanzas anteriores han dado un resultado relativo ya que debido a la deficitaria situación económica de la Cooperativa y a lo escaso que resulta, solo la percepción de gastos por inhumación de cada parcela solicitada por la Municipalidad, mantener la prestación de un servicio a nivel de los grandes Cementerios Parques, significa un esfuerzo económico importante para la Cooperativa;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en la misma nota la Cooperativa Meridional solicita la realización de un Convenio de Reciprocidad que contemple una nueva prórroga de gracia en el pago del canon y el otorgamiento de parcelas en el Cementerio Parque La Paloma, a los titulares de parcelas en el Cementerio Municipal, abonando por cada una, el TREINTA POR CIENTO (30%) del valor real de la misma y para el caso  de  no  ser  titular de parcelas en el Cementerio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Municipal, podrá la Municipalidad solicitar parcelas a la Cooperativa, pudiendo hacer efectivo para si el cobro del valor real de la misma, abonando por adelantado a la Cooperativa el TREINTA POR CIENTO (30%) de ese valor;</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Cementerio Municipal presenta problemas respecto a su ocupación que hace necesario que se generen alternativas de fácil acceso a la población y el Cementerio Parque cuenta con gran cantidad de parcelas sin ocupar;</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con modificaciones en Sesión Ordinaria del día 25 de Noviembre de 2009;</w:t>
      </w:r>
    </w:p>
    <w:p>
      <w:pPr>
        <w:ind w:left="561"/>
        <w:jc w:val="both"/>
        <w:rPr>
          <w:rStyle w:val="C3"/>
          <w:rFonts w:ascii="Courier New" w:hAnsi="Courier New"/>
        </w:rPr>
      </w:pPr>
    </w:p>
    <w:p>
      <w:pPr>
        <w:ind w:left="561"/>
        <w:jc w:val="right"/>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AUTORIZASE </w:t>
      </w:r>
      <w:r>
        <w:rPr>
          <w:rStyle w:val="C3"/>
          <w:rFonts w:ascii="Courier New" w:hAnsi="Courier New"/>
        </w:rPr>
        <w:t>al Departamento Ejecutivo a suscribir convenio de reciprocidad con la Cooperativa Meridional Ltda. en su carácter de concesionaria del Cementerio Parque Municipal de acuerdo al modelo que forma parte de la presente.-</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EL </w:t>
      </w:r>
      <w:r>
        <w:rPr>
          <w:rStyle w:val="C3"/>
          <w:rFonts w:ascii="Courier New" w:hAnsi="Courier New"/>
        </w:rPr>
        <w:t xml:space="preserve">Departamento Ejecutivo deberá, en caso de venta de parcelas del Cementerio Parque a los no titulares de parcelas en el cementerio Municipal, afectar específicamente a los importes de saldo a favor exclusivamente al Servicio de Mantenimiento del Cementerio Municipal.-  </w:t>
      </w:r>
    </w:p>
    <w:p>
      <w:pPr>
        <w:ind w:hanging="561" w:left="561"/>
        <w:jc w:val="right"/>
        <w:rPr>
          <w:rStyle w:val="C3"/>
          <w:rFonts w:ascii="Courier New" w:hAnsi="Courier New"/>
        </w:rPr>
      </w:pPr>
      <w:r>
        <w:rPr>
          <w:rStyle w:val="C3"/>
          <w:rFonts w:ascii="Courier New" w:hAnsi="Courier New"/>
        </w:rPr>
        <w:t>...///</w:t>
      </w:r>
    </w:p>
    <w:p>
      <w:pPr>
        <w:ind w:hanging="561" w:left="561"/>
        <w:jc w:val="right"/>
        <w:rPr>
          <w:rStyle w:val="C3"/>
          <w:rFonts w:ascii="Courier New" w:hAnsi="Courier New"/>
        </w:rPr>
      </w:pPr>
    </w:p>
    <w:p>
      <w:pPr>
        <w:ind w:hanging="561" w:left="561"/>
        <w:jc w:val="right"/>
        <w:rPr>
          <w:rStyle w:val="C3"/>
          <w:rFonts w:ascii="Courier New" w:hAnsi="Courier New"/>
        </w:rPr>
      </w:pPr>
    </w:p>
    <w:p>
      <w:pPr>
        <w:ind w:hanging="561" w:left="561"/>
        <w:jc w:val="right"/>
        <w:rPr>
          <w:rStyle w:val="C3"/>
          <w:rFonts w:ascii="Courier New" w:hAnsi="Courier New"/>
        </w:rPr>
      </w:pPr>
    </w:p>
    <w:p>
      <w:pPr>
        <w:ind w:hanging="561" w:left="561"/>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hanging="561" w:left="561"/>
        <w:jc w:val="right"/>
        <w:rPr>
          <w:rStyle w:val="C3"/>
          <w:rFonts w:ascii="Courier New" w:hAnsi="Courier New"/>
        </w:rPr>
      </w:pPr>
    </w:p>
    <w:p>
      <w:pPr>
        <w:ind w:hanging="561" w:left="561"/>
        <w:jc w:val="right"/>
        <w:rPr>
          <w:rStyle w:val="C3"/>
          <w:rFonts w:ascii="Courier New" w:hAnsi="Courier New"/>
        </w:rPr>
      </w:pPr>
    </w:p>
    <w:p>
      <w:pPr>
        <w:ind w:hanging="561" w:left="561"/>
        <w:jc w:val="right"/>
        <w:rPr>
          <w:rStyle w:val="C3"/>
          <w:rFonts w:ascii="Courier New" w:hAnsi="Courier New"/>
        </w:rPr>
      </w:pPr>
    </w:p>
    <w:p>
      <w:pPr>
        <w:ind w:hanging="374" w:left="374"/>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VEINTICINCO DÍAS DEL MES DE NOVIEMBRE DEL AÑO DOS MIL NUEVE.-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Courier New" w:hAnsi="Courier New"/>
          <w:sz w:val="144"/>
        </w:rPr>
      </w:pPr>
      <w:r>
        <w:rPr>
          <w:rStyle w:val="C3"/>
          <w:rFonts w:ascii="Courier New" w:hAnsi="Courier New"/>
          <w:sz w:val="144"/>
        </w:rPr>
        <w:t>ANEXO</w:t>
      </w:r>
    </w:p>
    <w:p>
      <w:pPr>
        <w:pStyle w:val="P16"/>
        <w:ind w:left="113"/>
        <w:jc w:val="center"/>
        <w:rPr>
          <w:rStyle w:val="C3"/>
          <w:rFonts w:ascii="Courier New" w:hAnsi="Courier New"/>
          <w:sz w:val="144"/>
        </w:rPr>
      </w:pPr>
    </w:p>
    <w:p>
      <w:pPr>
        <w:pStyle w:val="P16"/>
        <w:ind w:left="113"/>
        <w:jc w:val="center"/>
        <w:rPr>
          <w:rStyle w:val="C3"/>
          <w:rFonts w:ascii="Courier New" w:hAnsi="Courier New"/>
          <w:sz w:val="144"/>
        </w:rPr>
      </w:pPr>
    </w:p>
    <w:p>
      <w:pPr>
        <w:pStyle w:val="P16"/>
        <w:ind w:left="113"/>
        <w:jc w:val="center"/>
        <w:rPr>
          <w:rStyle w:val="C3"/>
          <w:rFonts w:ascii="Courier New" w:hAnsi="Courier New"/>
          <w:sz w:val="144"/>
        </w:rPr>
      </w:pPr>
    </w:p>
    <w:p>
      <w:pPr>
        <w:pStyle w:val="P18"/>
        <w:jc w:val="both"/>
        <w:rPr>
          <w:rStyle w:val="C3"/>
          <w:sz w:val="28"/>
        </w:rPr>
      </w:pPr>
    </w:p>
    <w:p>
      <w:pPr>
        <w:pStyle w:val="P18"/>
        <w:jc w:val="both"/>
        <w:rPr>
          <w:rStyle w:val="C3"/>
          <w:sz w:val="28"/>
        </w:rPr>
      </w:pPr>
    </w:p>
    <w:p>
      <w:pPr>
        <w:pStyle w:val="P18"/>
        <w:jc w:val="both"/>
        <w:rPr>
          <w:rStyle w:val="C3"/>
          <w:sz w:val="28"/>
        </w:rPr>
      </w:pPr>
    </w:p>
    <w:p>
      <w:pPr>
        <w:pStyle w:val="P18"/>
        <w:jc w:val="both"/>
        <w:rPr>
          <w:rStyle w:val="C3"/>
          <w:sz w:val="28"/>
        </w:rPr>
      </w:pPr>
    </w:p>
    <w:p>
      <w:pPr>
        <w:pStyle w:val="P18"/>
        <w:jc w:val="both"/>
        <w:rPr>
          <w:rStyle w:val="C3"/>
          <w:sz w:val="28"/>
        </w:rPr>
      </w:pPr>
    </w:p>
    <w:p>
      <w:pPr>
        <w:pStyle w:val="P18"/>
        <w:jc w:val="both"/>
        <w:rPr>
          <w:rStyle w:val="C3"/>
          <w:sz w:val="28"/>
        </w:rPr>
      </w:pPr>
    </w:p>
    <w:p>
      <w:pPr>
        <w:pStyle w:val="P18"/>
        <w:rPr>
          <w:rStyle w:val="C3"/>
          <w:rFonts w:ascii="Times New Roman" w:hAnsi="Times New Roman"/>
          <w:sz w:val="28"/>
        </w:rPr>
      </w:pPr>
      <w:r>
        <w:rPr>
          <w:rStyle w:val="C3"/>
          <w:rFonts w:ascii="Times New Roman" w:hAnsi="Times New Roman"/>
          <w:sz w:val="28"/>
        </w:rPr>
        <w:t xml:space="preserve">CONVENIO DE  RECIPROCIDAD</w:t>
      </w:r>
    </w:p>
    <w:p>
      <w:pPr>
        <w:jc w:val="both"/>
        <w:rPr>
          <w:rStyle w:val="C3"/>
          <w:b w:val="1"/>
          <w:sz w:val="28"/>
          <w:u w:val="single"/>
        </w:rPr>
      </w:pPr>
    </w:p>
    <w:p>
      <w:pPr>
        <w:pStyle w:val="P11"/>
        <w:rPr>
          <w:rStyle w:val="C3"/>
          <w:rFonts w:ascii="Times New Roman" w:hAnsi="Times New Roman"/>
          <w:sz w:val="28"/>
        </w:rPr>
      </w:pPr>
      <w:r>
        <w:rPr>
          <w:rStyle w:val="C3"/>
          <w:rFonts w:ascii="Times New Roman" w:hAnsi="Times New Roman"/>
          <w:sz w:val="28"/>
        </w:rPr>
        <w:t xml:space="preserve">Entre la Municipalidad de Alta Gracia (en adelante la Municipalidad), representada en este acto por el Sr. Intendente Municipal ................. y la Cooperativa Meridional Ltda. (en adelante la Cooperativa) representada por su Presidente Sr. .................. por la otra, participan en este acto la Municipalidad en su carácter de propietaria del Cementerio Parque Municipal y la Cooperativa en su carácter de concesionaria de la explotación de dicho Cementerio Parque, convienen en celebrar este convenio de reciprocidad de acuerdo a las cláusulas que a continuación se detallan. . . . . . . . .  . . . . . . . . . . . . . . . . . . . . . . . . . . . . . . . . . . . . . . . . . . . . . </w:t>
      </w:r>
    </w:p>
    <w:p>
      <w:pPr>
        <w:pStyle w:val="P11"/>
        <w:rPr>
          <w:rStyle w:val="C3"/>
          <w:rFonts w:ascii="Times New Roman" w:hAnsi="Times New Roman"/>
          <w:sz w:val="28"/>
        </w:rPr>
      </w:pPr>
      <w:r>
        <w:rPr>
          <w:rStyle w:val="C3"/>
          <w:rFonts w:ascii="Times New Roman" w:hAnsi="Times New Roman"/>
          <w:sz w:val="28"/>
          <w:u w:val="single"/>
        </w:rPr>
        <w:t>Primera</w:t>
      </w:r>
      <w:r>
        <w:rPr>
          <w:rStyle w:val="C3"/>
          <w:rFonts w:ascii="Times New Roman" w:hAnsi="Times New Roman"/>
          <w:sz w:val="28"/>
        </w:rPr>
        <w:t xml:space="preserve">: la Municipalidad otorga a la Cooperativa un plazo de gracia de tres (3) años en el pago del canon correspondiente a la citada concesión, a contar desde el 1 de Enero de 2008 al 31 de diciembre de 2011. . . . . . . . . .  </w:t>
      </w:r>
    </w:p>
    <w:p>
      <w:pPr>
        <w:pStyle w:val="P13"/>
        <w:ind w:hanging="1" w:left="0"/>
        <w:rPr>
          <w:rStyle w:val="C3"/>
          <w:rFonts w:ascii="Times New Roman" w:hAnsi="Times New Roman"/>
          <w:sz w:val="28"/>
        </w:rPr>
      </w:pPr>
      <w:r>
        <w:rPr>
          <w:rStyle w:val="C3"/>
          <w:rFonts w:ascii="Times New Roman" w:hAnsi="Times New Roman"/>
          <w:sz w:val="28"/>
          <w:u w:val="single"/>
        </w:rPr>
        <w:t>Segunda</w:t>
      </w:r>
      <w:r>
        <w:rPr>
          <w:rStyle w:val="C3"/>
          <w:rFonts w:ascii="Times New Roman" w:hAnsi="Times New Roman"/>
          <w:sz w:val="28"/>
        </w:rPr>
        <w:t xml:space="preserve">: En los casos solicitados por la Municipalidad, la Cooperativa otorgará a los titulares de parcelas en el Cementerio Municipal, una parcela en el Cementerio Parque La Paloma, abonando por cada una solo el 30 % del valor real  de la misma y para el caso de no ser titular de parcelas en el Cementerio Municipal, se conviene expresamente que la Municipalidad podrá solicitar parcelas a la Cooperativa, pudiendo hacer efectivo para si el cobro del valor real de la misma, abonando por adelantado a la Cooperativa el treinta por ciento (30%) de ese valor.. . . . . . . . . . . . . . . . . . . . . . . . . . . . . </w:t>
      </w:r>
    </w:p>
    <w:p>
      <w:pPr>
        <w:pStyle w:val="P11"/>
        <w:rPr>
          <w:rStyle w:val="C3"/>
          <w:rFonts w:ascii="Times New Roman" w:hAnsi="Times New Roman"/>
          <w:sz w:val="28"/>
        </w:rPr>
      </w:pPr>
      <w:r>
        <w:rPr>
          <w:rStyle w:val="C3"/>
          <w:rFonts w:ascii="Times New Roman" w:hAnsi="Times New Roman"/>
          <w:sz w:val="28"/>
          <w:u w:val="single"/>
        </w:rPr>
        <w:t>Tercera</w:t>
      </w:r>
      <w:r>
        <w:rPr>
          <w:rStyle w:val="C3"/>
          <w:rFonts w:ascii="Times New Roman" w:hAnsi="Times New Roman"/>
          <w:sz w:val="28"/>
        </w:rPr>
        <w:t>: Respecto a los gastos por servicio fúnebre, los deudos de los beneficiarios deberán abonar los gastos de introducción o inhumación y/o traslado, el mármol y la placa reglamentaria y los gastos de mantenimiento normales a partir de la ocupación de la parcela y, un costo adicional para el caso de adquirir una parcela con bóveda. . . . . . . . . . . . . . . . . . . . . . . . . . . . .</w:t>
      </w:r>
    </w:p>
    <w:p>
      <w:pPr>
        <w:pStyle w:val="P11"/>
        <w:rPr>
          <w:rStyle w:val="C3"/>
          <w:rFonts w:ascii="Times New Roman" w:hAnsi="Times New Roman"/>
          <w:sz w:val="28"/>
        </w:rPr>
      </w:pPr>
      <w:r>
        <w:rPr>
          <w:rStyle w:val="C3"/>
          <w:rFonts w:ascii="Times New Roman" w:hAnsi="Times New Roman"/>
          <w:sz w:val="28"/>
          <w:u w:val="single"/>
        </w:rPr>
        <w:t>Cuarta</w:t>
      </w:r>
      <w:r>
        <w:rPr>
          <w:rStyle w:val="C3"/>
          <w:rFonts w:ascii="Times New Roman" w:hAnsi="Times New Roman"/>
          <w:sz w:val="28"/>
        </w:rPr>
        <w:t xml:space="preserve">: la Municipalidad tomará los recaudos necesarios para asegurar </w:t>
      </w:r>
      <w:r>
        <w:rPr>
          <w:rStyle w:val="C3"/>
          <w:rFonts w:ascii="Times New Roman" w:hAnsi="Times New Roman"/>
          <w:b w:val="1"/>
          <w:sz w:val="28"/>
        </w:rPr>
        <w:t xml:space="preserve">la capacidad de pago </w:t>
      </w:r>
      <w:r>
        <w:rPr>
          <w:rStyle w:val="C3"/>
          <w:rFonts w:ascii="Times New Roman" w:hAnsi="Times New Roman"/>
          <w:sz w:val="28"/>
        </w:rPr>
        <w:t>por parte de los deudos beneficiados con la parcela gratuita. . . . . . . . . . . . . . . . . . . . . . . . . . . . . . . . . . . . . . . . . . . . . . . . . . . . . . .</w:t>
      </w:r>
    </w:p>
    <w:p>
      <w:pPr>
        <w:pStyle w:val="P11"/>
        <w:rPr>
          <w:rStyle w:val="C3"/>
          <w:rFonts w:ascii="Times New Roman" w:hAnsi="Times New Roman"/>
          <w:sz w:val="28"/>
        </w:rPr>
      </w:pPr>
      <w:r>
        <w:rPr>
          <w:rStyle w:val="C3"/>
          <w:rFonts w:ascii="Times New Roman" w:hAnsi="Times New Roman"/>
          <w:sz w:val="28"/>
          <w:u w:val="single"/>
        </w:rPr>
        <w:t>Quinta</w:t>
      </w:r>
      <w:r>
        <w:rPr>
          <w:rStyle w:val="C3"/>
          <w:rFonts w:ascii="Times New Roman" w:hAnsi="Times New Roman"/>
          <w:sz w:val="28"/>
        </w:rPr>
        <w:t>: la Municipalidad a través de las áreas correspondientes quedará autorizada a ofrecer esta opción, dando prioridad a los casos de actuales ocupantes del Cementerio Municipal permitiendo de este modo ampliar su capacidad. . . . . . . . . . . . . . . . . . . . . . . . . . . . . . . . . . . . . . . . . . . . . . . . . . . . .</w:t>
      </w:r>
    </w:p>
    <w:p>
      <w:pPr>
        <w:pStyle w:val="P11"/>
        <w:rPr>
          <w:rStyle w:val="C3"/>
          <w:rFonts w:ascii="Times New Roman" w:hAnsi="Times New Roman"/>
          <w:sz w:val="28"/>
        </w:rPr>
      </w:pPr>
      <w:r>
        <w:rPr>
          <w:rStyle w:val="C3"/>
          <w:rFonts w:ascii="Times New Roman" w:hAnsi="Times New Roman"/>
          <w:sz w:val="28"/>
        </w:rPr>
        <w:t xml:space="preserve">Previa lectura y ratificación se firman dos (2) ejemplares de un mismo tenor y a un solo efecto. Alta Gracia, ........... a los .............días del mes de ...................del año dos mil . . . . . . . . . . . . . . . . . . . . . . . . . . . . . . . . . . . . . . </w:t>
      </w:r>
    </w:p>
    <w:p>
      <w:pPr>
        <w:pStyle w:val="P18"/>
        <w:jc w:val="both"/>
        <w:rPr>
          <w:rStyle w:val="C3"/>
          <w:rFonts w:ascii="Times New Roman" w:hAnsi="Times New Roman"/>
          <w:sz w:val="28"/>
        </w:rPr>
      </w:pP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1FB979DB">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55F5E6A0">
      <w:start w:val="2"/>
      <w:numFmt w:val="bullet"/>
      <w:suff w:val="tab"/>
      <w:lvlText w:val="-"/>
      <w:lvlJc w:val="left"/>
      <w:pPr>
        <w:ind w:hanging="360" w:left="1080"/>
        <w:tabs>
          <w:tab w:val="left" w:pos="1080" w:leader="none"/>
        </w:tabs>
      </w:pPr>
      <w:rPr>
        <w:rFonts w:ascii="Courier New" w:hAnsi="Courier New"/>
      </w:rPr>
    </w:lvl>
    <w:lvl w:ilvl="1" w:tplc="613492FA">
      <w:start w:val="1"/>
      <w:numFmt w:val="bullet"/>
      <w:suff w:val="tab"/>
      <w:lvlText w:val="o"/>
      <w:lvlJc w:val="left"/>
      <w:pPr>
        <w:ind w:hanging="360" w:left="1800"/>
        <w:tabs>
          <w:tab w:val="left" w:pos="1800" w:leader="none"/>
        </w:tabs>
      </w:pPr>
      <w:rPr>
        <w:rFonts w:ascii="Courier New" w:hAnsi="Courier New"/>
      </w:rPr>
    </w:lvl>
    <w:lvl w:ilvl="2" w:tplc="1C6A0095">
      <w:start w:val="1"/>
      <w:numFmt w:val="bullet"/>
      <w:suff w:val="tab"/>
      <w:lvlText w:val=""/>
      <w:lvlJc w:val="left"/>
      <w:pPr>
        <w:ind w:hanging="360" w:left="2520"/>
        <w:tabs>
          <w:tab w:val="left" w:pos="2520" w:leader="none"/>
        </w:tabs>
      </w:pPr>
      <w:rPr>
        <w:rFonts w:ascii="Wingdings" w:hAnsi="Wingdings"/>
      </w:rPr>
    </w:lvl>
    <w:lvl w:ilvl="3" w:tplc="1509E623">
      <w:start w:val="1"/>
      <w:numFmt w:val="bullet"/>
      <w:suff w:val="tab"/>
      <w:lvlText w:val=""/>
      <w:lvlJc w:val="left"/>
      <w:pPr>
        <w:ind w:hanging="360" w:left="3240"/>
        <w:tabs>
          <w:tab w:val="left" w:pos="3240" w:leader="none"/>
        </w:tabs>
      </w:pPr>
      <w:rPr>
        <w:rFonts w:ascii="Symbol" w:hAnsi="Symbol"/>
      </w:rPr>
    </w:lvl>
    <w:lvl w:ilvl="4" w:tplc="5C429351">
      <w:start w:val="1"/>
      <w:numFmt w:val="bullet"/>
      <w:suff w:val="tab"/>
      <w:lvlText w:val="o"/>
      <w:lvlJc w:val="left"/>
      <w:pPr>
        <w:ind w:hanging="360" w:left="3960"/>
        <w:tabs>
          <w:tab w:val="left" w:pos="3960" w:leader="none"/>
        </w:tabs>
      </w:pPr>
      <w:rPr>
        <w:rFonts w:ascii="Courier New" w:hAnsi="Courier New"/>
      </w:rPr>
    </w:lvl>
    <w:lvl w:ilvl="5" w:tplc="37FB8E4D">
      <w:start w:val="1"/>
      <w:numFmt w:val="bullet"/>
      <w:suff w:val="tab"/>
      <w:lvlText w:val=""/>
      <w:lvlJc w:val="left"/>
      <w:pPr>
        <w:ind w:hanging="360" w:left="4680"/>
        <w:tabs>
          <w:tab w:val="left" w:pos="4680" w:leader="none"/>
        </w:tabs>
      </w:pPr>
      <w:rPr>
        <w:rFonts w:ascii="Wingdings" w:hAnsi="Wingdings"/>
      </w:rPr>
    </w:lvl>
    <w:lvl w:ilvl="6" w:tplc="492841EE">
      <w:start w:val="1"/>
      <w:numFmt w:val="bullet"/>
      <w:suff w:val="tab"/>
      <w:lvlText w:val=""/>
      <w:lvlJc w:val="left"/>
      <w:pPr>
        <w:ind w:hanging="360" w:left="5400"/>
        <w:tabs>
          <w:tab w:val="left" w:pos="5400" w:leader="none"/>
        </w:tabs>
      </w:pPr>
      <w:rPr>
        <w:rFonts w:ascii="Symbol" w:hAnsi="Symbol"/>
      </w:rPr>
    </w:lvl>
    <w:lvl w:ilvl="7" w:tplc="134E1299">
      <w:start w:val="1"/>
      <w:numFmt w:val="bullet"/>
      <w:suff w:val="tab"/>
      <w:lvlText w:val="o"/>
      <w:lvlJc w:val="left"/>
      <w:pPr>
        <w:ind w:hanging="360" w:left="6120"/>
        <w:tabs>
          <w:tab w:val="left" w:pos="6120" w:leader="none"/>
        </w:tabs>
      </w:pPr>
      <w:rPr>
        <w:rFonts w:ascii="Courier New" w:hAnsi="Courier New"/>
      </w:rPr>
    </w:lvl>
    <w:lvl w:ilvl="8" w:tplc="63332B28">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36923351">
      <w:start w:val="1"/>
      <w:numFmt w:val="bullet"/>
      <w:suff w:val="tab"/>
      <w:lvlText w:val="-"/>
      <w:lvlJc w:val="left"/>
      <w:pPr>
        <w:ind w:hanging="360" w:left="1080"/>
        <w:tabs>
          <w:tab w:val="left" w:pos="1080" w:leader="none"/>
        </w:tabs>
      </w:pPr>
      <w:rPr>
        <w:rFonts w:ascii="Courier New" w:hAnsi="Courier New"/>
      </w:rPr>
    </w:lvl>
    <w:lvl w:ilvl="1" w:tplc="50ED241F">
      <w:start w:val="1"/>
      <w:numFmt w:val="bullet"/>
      <w:suff w:val="tab"/>
      <w:lvlText w:val="o"/>
      <w:lvlJc w:val="left"/>
      <w:pPr>
        <w:ind w:hanging="360" w:left="1800"/>
        <w:tabs>
          <w:tab w:val="left" w:pos="1800" w:leader="none"/>
        </w:tabs>
      </w:pPr>
      <w:rPr>
        <w:rFonts w:ascii="Courier New" w:hAnsi="Courier New"/>
      </w:rPr>
    </w:lvl>
    <w:lvl w:ilvl="2" w:tplc="37C424E3">
      <w:start w:val="1"/>
      <w:numFmt w:val="bullet"/>
      <w:suff w:val="tab"/>
      <w:lvlText w:val=""/>
      <w:lvlJc w:val="left"/>
      <w:pPr>
        <w:ind w:hanging="360" w:left="2520"/>
        <w:tabs>
          <w:tab w:val="left" w:pos="2520" w:leader="none"/>
        </w:tabs>
      </w:pPr>
      <w:rPr>
        <w:rFonts w:ascii="Wingdings" w:hAnsi="Wingdings"/>
      </w:rPr>
    </w:lvl>
    <w:lvl w:ilvl="3" w:tplc="54148FE7">
      <w:start w:val="1"/>
      <w:numFmt w:val="bullet"/>
      <w:suff w:val="tab"/>
      <w:lvlText w:val=""/>
      <w:lvlJc w:val="left"/>
      <w:pPr>
        <w:ind w:hanging="360" w:left="3240"/>
        <w:tabs>
          <w:tab w:val="left" w:pos="3240" w:leader="none"/>
        </w:tabs>
      </w:pPr>
      <w:rPr>
        <w:rFonts w:ascii="Symbol" w:hAnsi="Symbol"/>
      </w:rPr>
    </w:lvl>
    <w:lvl w:ilvl="4" w:tplc="5EA8CECC">
      <w:start w:val="1"/>
      <w:numFmt w:val="bullet"/>
      <w:suff w:val="tab"/>
      <w:lvlText w:val="o"/>
      <w:lvlJc w:val="left"/>
      <w:pPr>
        <w:ind w:hanging="360" w:left="3960"/>
        <w:tabs>
          <w:tab w:val="left" w:pos="3960" w:leader="none"/>
        </w:tabs>
      </w:pPr>
      <w:rPr>
        <w:rFonts w:ascii="Courier New" w:hAnsi="Courier New"/>
      </w:rPr>
    </w:lvl>
    <w:lvl w:ilvl="5" w:tplc="74316DA7">
      <w:start w:val="1"/>
      <w:numFmt w:val="bullet"/>
      <w:suff w:val="tab"/>
      <w:lvlText w:val=""/>
      <w:lvlJc w:val="left"/>
      <w:pPr>
        <w:ind w:hanging="360" w:left="4680"/>
        <w:tabs>
          <w:tab w:val="left" w:pos="4680" w:leader="none"/>
        </w:tabs>
      </w:pPr>
      <w:rPr>
        <w:rFonts w:ascii="Wingdings" w:hAnsi="Wingdings"/>
      </w:rPr>
    </w:lvl>
    <w:lvl w:ilvl="6" w:tplc="2ED9AE85">
      <w:start w:val="1"/>
      <w:numFmt w:val="bullet"/>
      <w:suff w:val="tab"/>
      <w:lvlText w:val=""/>
      <w:lvlJc w:val="left"/>
      <w:pPr>
        <w:ind w:hanging="360" w:left="5400"/>
        <w:tabs>
          <w:tab w:val="left" w:pos="5400" w:leader="none"/>
        </w:tabs>
      </w:pPr>
      <w:rPr>
        <w:rFonts w:ascii="Symbol" w:hAnsi="Symbol"/>
      </w:rPr>
    </w:lvl>
    <w:lvl w:ilvl="7" w:tplc="68A88565">
      <w:start w:val="1"/>
      <w:numFmt w:val="bullet"/>
      <w:suff w:val="tab"/>
      <w:lvlText w:val="o"/>
      <w:lvlJc w:val="left"/>
      <w:pPr>
        <w:ind w:hanging="360" w:left="6120"/>
        <w:tabs>
          <w:tab w:val="left" w:pos="6120" w:leader="none"/>
        </w:tabs>
      </w:pPr>
      <w:rPr>
        <w:rFonts w:ascii="Courier New" w:hAnsi="Courier New"/>
      </w:rPr>
    </w:lvl>
    <w:lvl w:ilvl="8" w:tplc="5506C444">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070B8185">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2009-11-28T10:41:00Z</dcterms:created>
  <cp:lastModifiedBy>Ethan Puglia</cp:lastModifiedBy>
  <cp:lastPrinted>2009-12-10T15:12:00Z</cp:lastPrinted>
  <dcterms:modified xsi:type="dcterms:W3CDTF">2019-03-28T17:34:15Z</dcterms:modified>
  <cp:revision>12</cp:revision>
  <dc:title>PROYECTO DE ORDENANZA VIOLENCIA FAMILIAR</dc:title>
</cp:coreProperties>
</file>