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F7FB2E7" Type="http://schemas.openxmlformats.org/officeDocument/2006/relationships/officeDocument" Target="/word/document.xml" /><Relationship Id="coreR7F7FB2E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rPr>
          <w:rStyle w:val="C3"/>
        </w:rPr>
      </w:pPr>
    </w:p>
    <w:p>
      <w:pPr>
        <w:pStyle w:val="P4"/>
      </w:pPr>
      <w:r>
        <w:t>ORDENANZA N° 8530</w:t>
      </w:r>
    </w:p>
    <w:p/>
    <w:p/>
    <w:p>
      <w:pPr>
        <w:ind w:hanging="561" w:left="561"/>
        <w:jc w:val="both"/>
        <w:rPr>
          <w:rStyle w:val="C3"/>
          <w:rFonts w:ascii="Courier New" w:hAnsi="Courier New"/>
        </w:rPr>
      </w:pPr>
      <w:r>
        <w:rPr>
          <w:rStyle w:val="C3"/>
          <w:rFonts w:ascii="Courier New" w:hAnsi="Courier New"/>
        </w:rPr>
        <w:t>Visto: El Presupuesto General de Gastos y recursos para el año 2010 y el Proyecto elevado por el Departamento Ejecutivo; y</w:t>
      </w:r>
    </w:p>
    <w:p>
      <w:pPr>
        <w:rPr>
          <w:rStyle w:val="C3"/>
        </w:rPr>
      </w:pPr>
    </w:p>
    <w:p>
      <w:pPr>
        <w:pStyle w:val="P2"/>
        <w:rPr>
          <w:rStyle w:val="C3"/>
        </w:rPr>
      </w:pPr>
    </w:p>
    <w:p>
      <w:pPr>
        <w:pStyle w:val="P2"/>
      </w:pPr>
      <w:r>
        <w:t>C O N S I D E R A N D 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dicho Proyecto tomó estado parlamentario y primera lectura en Sesión Ordinaria de este Honorable Concejo Deliberante correspondiente al día 29 de Octubre de 2009;</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 conformidad a lo establecido en la Carta Orgánica Municipal en su Art.79°, Inc.16, es atribución del Órgano Legisferante sancionar, a iniciativa del Departamento Ejecutivo, el Presupuesto de Gastos y Recursos y sus Rectificaciones;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 conformidad a lo establecido en el Art.93, Inc.8 se efectuó la correspondiente audiencia  invitándose a vecinos, instituciones y todos aquellos interesados directamente en su discusión;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Proyecto elevado contempla, en un cuadro de recesión, acentuando a nivel nacional, con influencia directa en las finanzas no sólo municipales, sino provinciales, austeridad y estricto control de los dineros que los vecinos tributan con esfuerzo y sacrificio;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 observa una realzada restricción en el gasto y evidente prudencia en la percepción de los ingresos;</w:t>
      </w:r>
    </w:p>
    <w:p>
      <w:pPr>
        <w:ind w:left="561"/>
        <w:jc w:val="both"/>
        <w:rPr>
          <w:rStyle w:val="C3"/>
          <w:rFonts w:ascii="Courier New" w:hAnsi="Courier New"/>
        </w:rPr>
      </w:pP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también se debe continuar en el cumplimiento con el compromiso adquirido con la ciudadanía en oportunidad del acto electoral que permitió al actual gobierno municipal continuar los objetivos trazados;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Estado Municipal ha cumplido y trata de cumplir rigurosamente con los compromisos adquiridos, no solo con la asistencia financiera recibida oportunamente;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ha cumplimentado en un todo de acuerdo lo legalmente establecido en la mencionada Carta Orgánica Municipal;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Comisión de Hacienda, la misma emite despacho favorable, con modificaciones, aprobado en General y en particular por Mayoría en Sesión Ordinaria del día 25 de Noviembre de 2009;</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            </w:t>
      </w: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right"/>
        <w:rPr>
          <w:rStyle w:val="C3"/>
          <w:rFonts w:ascii="JaneAusten" w:hAnsi="JaneAusten"/>
          <w:b w:val="1"/>
        </w:rPr>
      </w:pPr>
      <w:r>
        <w:t>...</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FÍJASE </w:t>
      </w:r>
      <w:r>
        <w:rPr>
          <w:rStyle w:val="C3"/>
          <w:rFonts w:ascii="Courier New" w:hAnsi="Courier New"/>
        </w:rPr>
        <w:t>en la suma de PESOS CINCUENTA MILLONES TRESCIENTOS TREINTA Y UN MIL OCHOCIENTOS DIECINUEVE CON NOVENTA Y DOS CENTAVOS ($ 50.331.819,92), los Gastos Corrientes y de Capital del Presupuesto General de la Municipalidad de Alta Gracia para el Ejercicio 2010 con destino al cumplimiento de los objetivos propios de los Anexos que forman parte integrante de la presente Ordenanza.-</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 xml:space="preserve">ESTÍMASE </w:t>
      </w:r>
      <w:r>
        <w:rPr>
          <w:rStyle w:val="C3"/>
          <w:rFonts w:ascii="Courier New" w:hAnsi="Courier New"/>
        </w:rPr>
        <w:t>en la suma de PESOS CINCUENTA MILLONES TRESCIENTOS TREINTA Y UN MIL OCHOCIENTOS DIECINUEVE CON NOVENTA Y DOS CENTAVOS ($ 50.331.819,92), el cálculo de recursos detallado en planillas Anexas destinadas a atender las erogaciones a que se refiere el artículo anterior.-</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hanging="374" w:left="374"/>
        <w:jc w:val="both"/>
        <w:rPr>
          <w:rStyle w:val="C3"/>
          <w:rFonts w:ascii="Courier New" w:hAnsi="Courier New"/>
          <w:b w:val="1"/>
          <w:u w:val="single"/>
        </w:rPr>
      </w:pPr>
    </w:p>
    <w:p>
      <w:pPr>
        <w:ind w:hanging="374" w:left="374"/>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 xml:space="preserve">ESTÍMASE </w:t>
      </w:r>
      <w:r>
        <w:rPr>
          <w:rStyle w:val="C3"/>
          <w:rFonts w:ascii="Courier New" w:hAnsi="Courier New"/>
        </w:rPr>
        <w:t>el siguiente Balance Financiero Preventivo, determinado como consecuencia de lo establecido en los artículos anteriores:</w:t>
      </w:r>
    </w:p>
    <w:p>
      <w:pPr>
        <w:ind w:hanging="374" w:left="374"/>
        <w:rPr>
          <w:rStyle w:val="C3"/>
          <w:rFonts w:ascii="Courier New" w:hAnsi="Courier New"/>
        </w:rPr>
      </w:pPr>
    </w:p>
    <w:p>
      <w:pPr>
        <w:ind w:hanging="374" w:left="374"/>
        <w:rPr>
          <w:rStyle w:val="C3"/>
          <w:rFonts w:ascii="Courier New" w:hAnsi="Courier New"/>
        </w:rPr>
      </w:pPr>
    </w:p>
    <w:p>
      <w:pPr>
        <w:ind w:left="737"/>
        <w:rPr>
          <w:rStyle w:val="C3"/>
          <w:rFonts w:ascii="Courier New" w:hAnsi="Courier New"/>
        </w:rPr>
      </w:pPr>
      <w:r>
        <w:rPr>
          <w:rStyle w:val="C3"/>
          <w:rFonts w:ascii="Courier New" w:hAnsi="Courier New"/>
        </w:rPr>
        <w:t xml:space="preserve">RECURSOS         $ 50.331.819,92</w:t>
      </w:r>
    </w:p>
    <w:p>
      <w:pPr>
        <w:ind w:left="737"/>
        <w:jc w:val="both"/>
        <w:rPr>
          <w:rStyle w:val="C3"/>
          <w:rFonts w:ascii="Courier New" w:hAnsi="Courier New"/>
        </w:rPr>
      </w:pPr>
      <w:r>
        <w:rPr>
          <w:rStyle w:val="C3"/>
          <w:rFonts w:ascii="Courier New" w:hAnsi="Courier New"/>
        </w:rPr>
        <w:tab/>
        <w:t xml:space="preserve">Menos:                   </w:t>
      </w:r>
    </w:p>
    <w:p>
      <w:pPr>
        <w:ind w:left="737"/>
        <w:jc w:val="center"/>
        <w:rPr>
          <w:rStyle w:val="C3"/>
          <w:rFonts w:ascii="Courier New" w:hAnsi="Courier New"/>
        </w:rPr>
      </w:pPr>
    </w:p>
    <w:p>
      <w:pPr>
        <w:ind w:left="737"/>
        <w:rPr>
          <w:rStyle w:val="C3"/>
          <w:rFonts w:ascii="Courier New" w:hAnsi="Courier New"/>
        </w:rPr>
      </w:pPr>
      <w:r>
        <w:rPr>
          <w:rStyle w:val="C3"/>
          <w:rFonts w:ascii="Courier New" w:hAnsi="Courier New"/>
        </w:rPr>
        <w:t xml:space="preserve">EGRESOS           $ 50.331.819,92</w:t>
      </w:r>
    </w:p>
    <w:p>
      <w:pPr>
        <w:spacing w:lineRule="atLeast" w:line="40"/>
        <w:ind w:left="737"/>
        <w:rPr>
          <w:rStyle w:val="C3"/>
          <w:rFonts w:ascii="Courier New" w:hAnsi="Courier New"/>
        </w:rPr>
      </w:pPr>
      <w:r>
        <w:rPr>
          <w:rStyle w:val="C3"/>
          <w:rFonts w:ascii="Courier New" w:hAnsi="Courier New"/>
        </w:rPr>
        <w:tab/>
        <w:tab/>
        <w:t>________________</w:t>
        <w:tab/>
        <w:tab/>
        <w:tab/>
        <w:tab/>
        <w:tab/>
        <w:tab/>
        <w:tab/>
        <w:tab/>
        <w:tab/>
        <w:t xml:space="preserve"> </w:t>
      </w:r>
    </w:p>
    <w:p>
      <w:pPr>
        <w:ind w:left="737"/>
        <w:rPr>
          <w:rStyle w:val="C3"/>
          <w:rFonts w:ascii="Courier New" w:hAnsi="Courier New"/>
        </w:rPr>
      </w:pPr>
      <w:r>
        <w:rPr>
          <w:rStyle w:val="C3"/>
          <w:rFonts w:ascii="Courier New" w:hAnsi="Courier New"/>
        </w:rPr>
        <w:t xml:space="preserve">EQUILIBRADO       -------0--------</w:t>
      </w:r>
    </w:p>
    <w:p>
      <w:pPr>
        <w:ind w:hanging="374" w:left="374"/>
        <w:jc w:val="both"/>
        <w:rPr>
          <w:rStyle w:val="C3"/>
          <w:rFonts w:ascii="Courier New" w:hAnsi="Courier New"/>
        </w:rPr>
      </w:pPr>
    </w:p>
    <w:p>
      <w:pPr>
        <w:ind w:hanging="374" w:left="374"/>
        <w:jc w:val="both"/>
        <w:rPr>
          <w:rStyle w:val="C3"/>
          <w:rFonts w:ascii="Courier New" w:hAnsi="Courier New"/>
          <w:b w:val="1"/>
          <w:u w:val="single"/>
        </w:rPr>
      </w:pPr>
    </w:p>
    <w:p>
      <w:pPr>
        <w:tabs>
          <w:tab w:val="left" w:pos="935" w:leader="none"/>
          <w:tab w:val="left" w:pos="1122" w:leader="none"/>
        </w:tabs>
        <w:ind w:hanging="374" w:left="374"/>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color w:val="FFFFFF"/>
        </w:rPr>
        <w:t>M</w:t>
      </w:r>
      <w:r>
        <w:rPr>
          <w:rStyle w:val="C3"/>
          <w:rFonts w:ascii="Courier New" w:hAnsi="Courier New"/>
          <w:b w:val="1"/>
        </w:rPr>
        <w:t xml:space="preserve">FACULTASE </w:t>
      </w:r>
      <w:r>
        <w:rPr>
          <w:rStyle w:val="C3"/>
          <w:rFonts w:ascii="Courier New" w:hAnsi="Courier New"/>
        </w:rPr>
        <w:t>al Departamento Ejecutivo a refuncionalizar, crear, modificar o fusionar Organismos hasta el nivel de Jefes de Departamento, dentro de los límites presupuestarios fijados en la presente Ordenanza.-</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FACÚLTASE </w:t>
      </w:r>
      <w:r>
        <w:rPr>
          <w:rStyle w:val="C3"/>
          <w:rFonts w:ascii="Courier New" w:hAnsi="Courier New"/>
        </w:rPr>
        <w:t>al</w:t>
      </w:r>
      <w:r>
        <w:rPr>
          <w:rStyle w:val="C3"/>
          <w:rFonts w:ascii="Courier New" w:hAnsi="Courier New"/>
          <w:b w:val="1"/>
        </w:rPr>
        <w:t xml:space="preserve"> </w:t>
      </w:r>
      <w:r>
        <w:rPr>
          <w:rStyle w:val="C3"/>
          <w:rFonts w:ascii="Courier New" w:hAnsi="Courier New"/>
        </w:rPr>
        <w:t xml:space="preserve">Departamento Ejecutivo para que por intermedio de la Secretaría de Economía se autoricen por Decreto las modificaciones presupuestarias que impliquen  compensaciones de rubros presupuestarios, de acuerdo a las siguientes condiciones:</w:t>
      </w:r>
    </w:p>
    <w:p>
      <w:pPr>
        <w:numPr>
          <w:ilvl w:val="0"/>
          <w:numId w:val="49"/>
        </w:numPr>
        <w:tabs>
          <w:tab w:val="left" w:pos="187" w:leader="none"/>
          <w:tab w:val="clear" w:pos="1211" w:leader="none"/>
        </w:tabs>
        <w:ind w:firstLine="0" w:left="374"/>
        <w:jc w:val="both"/>
        <w:rPr>
          <w:rStyle w:val="C3"/>
          <w:rFonts w:ascii="Courier New" w:hAnsi="Courier New"/>
        </w:rPr>
      </w:pPr>
      <w:r>
        <w:rPr>
          <w:rStyle w:val="C3"/>
          <w:rFonts w:ascii="Courier New" w:hAnsi="Courier New"/>
        </w:rPr>
        <w:t>Que no se modifique el monto total del Cálculo de Recursos y Presupuesto General de Gastos vigente.</w:t>
      </w:r>
    </w:p>
    <w:p>
      <w:pPr>
        <w:numPr>
          <w:ilvl w:val="0"/>
          <w:numId w:val="49"/>
        </w:numPr>
        <w:tabs>
          <w:tab w:val="left" w:pos="748" w:leader="none"/>
          <w:tab w:val="clear" w:pos="1211" w:leader="none"/>
        </w:tabs>
        <w:ind w:firstLine="0" w:left="374"/>
        <w:jc w:val="both"/>
        <w:rPr>
          <w:rStyle w:val="C3"/>
          <w:rFonts w:ascii="Courier New" w:hAnsi="Courier New"/>
        </w:rPr>
      </w:pPr>
      <w:r>
        <w:rPr>
          <w:rStyle w:val="C3"/>
          <w:rFonts w:ascii="Courier New" w:hAnsi="Courier New"/>
        </w:rPr>
        <w:t>Que no se disminuyan o incrementen los créditos acordados a cada partida de Erogaciones que se correspondan, en contrapartida, con igual crédito en el Cálculo de Recursos.</w:t>
      </w:r>
    </w:p>
    <w:p>
      <w:pPr>
        <w:numPr>
          <w:ilvl w:val="0"/>
          <w:numId w:val="49"/>
        </w:numPr>
        <w:tabs>
          <w:tab w:val="left" w:pos="748" w:leader="none"/>
          <w:tab w:val="clear" w:pos="1211" w:leader="none"/>
        </w:tabs>
        <w:ind w:firstLine="0" w:left="374"/>
        <w:jc w:val="both"/>
        <w:rPr>
          <w:rStyle w:val="C3"/>
          <w:rFonts w:ascii="Courier New" w:hAnsi="Courier New"/>
        </w:rPr>
      </w:pPr>
      <w:r>
        <w:rPr>
          <w:rStyle w:val="C3"/>
          <w:rFonts w:ascii="Courier New" w:hAnsi="Courier New"/>
        </w:rPr>
        <w:t>Que no disminuyan o incrementen los créditos acordados globalmente por nivel institucional.</w:t>
      </w:r>
    </w:p>
    <w:p>
      <w:pPr>
        <w:pStyle w:val="P14"/>
        <w:ind w:left="374"/>
        <w:rPr>
          <w:rStyle w:val="C3"/>
          <w:b w:val="1"/>
        </w:rPr>
      </w:pPr>
      <w:r>
        <w:rPr>
          <w:rStyle w:val="C3"/>
          <w:b w:val="0"/>
        </w:rPr>
        <w:t>Se podrán efectuar modificaciones sólo dentro de cada nivel institucional definido por esta Ordenanza de Presupuesto.</w:t>
      </w:r>
    </w:p>
    <w:p>
      <w:pPr>
        <w:pStyle w:val="P14"/>
        <w:ind w:left="374"/>
        <w:rPr>
          <w:rStyle w:val="C3"/>
          <w:b w:val="1"/>
        </w:rPr>
      </w:pPr>
      <w:r>
        <w:rPr>
          <w:rStyle w:val="C3"/>
          <w:b w:val="0"/>
        </w:rPr>
        <w:t xml:space="preserve">El saldo presupuestario de los excedentes líquidos de ejercicios   anteriores   provenientes  de  cuentas  con </w:t>
      </w:r>
    </w:p>
    <w:p>
      <w:pPr>
        <w:pStyle w:val="P14"/>
        <w:ind w:left="374"/>
        <w:jc w:val="right"/>
        <w:rPr>
          <w:rStyle w:val="C3"/>
          <w:b w:val="1"/>
        </w:rPr>
      </w:pPr>
      <w:r>
        <w:rPr>
          <w:rStyle w:val="C3"/>
          <w:b w:val="0"/>
        </w:rPr>
        <w:t>...///</w:t>
      </w:r>
    </w:p>
    <w:p>
      <w:pPr>
        <w:pStyle w:val="P14"/>
        <w:ind w:left="374"/>
        <w:rPr>
          <w:rStyle w:val="C3"/>
          <w:b w:val="1"/>
        </w:rPr>
      </w:pPr>
    </w:p>
    <w:p>
      <w:pPr>
        <w:pStyle w:val="P14"/>
        <w:ind w:left="374"/>
        <w:rPr>
          <w:rStyle w:val="C3"/>
          <w:b w:val="1"/>
        </w:rPr>
      </w:pPr>
    </w:p>
    <w:p>
      <w:pPr>
        <w:pStyle w:val="P14"/>
        <w:ind w:left="374"/>
        <w:rPr>
          <w:rStyle w:val="C3"/>
          <w:b w:val="1"/>
        </w:rPr>
      </w:pPr>
    </w:p>
    <w:p>
      <w:pPr>
        <w:pStyle w:val="P14"/>
        <w:ind w:left="374"/>
        <w:rPr>
          <w:rStyle w:val="C3"/>
          <w:b w:val="1"/>
        </w:rPr>
      </w:pPr>
    </w:p>
    <w:p>
      <w:pPr>
        <w:pStyle w:val="P14"/>
        <w:ind w:left="374"/>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pStyle w:val="P14"/>
        <w:ind w:left="374"/>
        <w:rPr>
          <w:rStyle w:val="C3"/>
          <w:b w:val="1"/>
        </w:rPr>
      </w:pPr>
    </w:p>
    <w:p>
      <w:pPr>
        <w:pStyle w:val="P14"/>
        <w:ind w:left="374"/>
        <w:rPr>
          <w:rStyle w:val="C3"/>
          <w:b w:val="1"/>
        </w:rPr>
      </w:pPr>
      <w:r>
        <w:rPr>
          <w:rStyle w:val="C3"/>
          <w:b w:val="0"/>
        </w:rPr>
        <w:t>afectación específica, integrará el saldo de rentas generales del ejercicio siguiente.</w:t>
      </w:r>
    </w:p>
    <w:p>
      <w:pPr>
        <w:pStyle w:val="P14"/>
        <w:ind w:left="374"/>
        <w:rPr>
          <w:rStyle w:val="C3"/>
          <w:b w:val="1"/>
        </w:rPr>
      </w:pPr>
      <w:r>
        <w:rPr>
          <w:rStyle w:val="C3"/>
          <w:b w:val="0"/>
        </w:rPr>
        <w:t>Los saldos de las cuentas con afectación específica dispuesta por Leyes, Decretos, Convenios y demás normas de nivel Nacional o Provincial, podrán utilizarse como rentas de libre disponibilidad en cuanto excedan los gastos que se preveía atender con ellos en el período mencionado, siempre que su devolución se produzca al cierre del ejercicio. Si de esta utilización se derivara un beneficio financiero, este producido integrará el saldo de rentas generales.-</w:t>
      </w:r>
    </w:p>
    <w:p>
      <w:pPr>
        <w:pStyle w:val="P14"/>
        <w:ind w:left="374"/>
        <w:rPr>
          <w:rStyle w:val="C3"/>
          <w:b w:val="1"/>
        </w:rPr>
      </w:pPr>
    </w:p>
    <w:p>
      <w:pPr>
        <w:ind w:hanging="374" w:left="374"/>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w:t>
      </w:r>
      <w:r>
        <w:rPr>
          <w:rStyle w:val="C3"/>
          <w:rFonts w:ascii="Courier New" w:hAnsi="Courier New"/>
          <w:b w:val="1"/>
        </w:rPr>
        <w:t>AFÉCTENSE</w:t>
      </w:r>
      <w:r>
        <w:rPr>
          <w:rStyle w:val="C3"/>
          <w:rFonts w:ascii="Courier New" w:hAnsi="Courier New"/>
        </w:rPr>
        <w:t xml:space="preserve"> los fondos provenientes del convenio suscripto oportunamente entre la Municipalidad, CET S.A. y Lotería de la Provincia de Córdoba Sociedad del Estado, sobre la explotación  de las máquinas de juego (Slots), Art.2º, inc. a) del citado convenio, a los siguientes programas y en el porcentaje que a continuación se detalla: </w:t>
        <w:tab/>
        <w:tab/>
        <w:tab/>
      </w:r>
    </w:p>
    <w:tbl>
      <w:tblPr>
        <w:tblLayout w:type="fixed"/>
        <w:tblCellMar>
          <w:top w:w="0" w:type="dxa"/>
          <w:left w:w="0" w:type="dxa"/>
          <w:bottom w:w="0" w:type="dxa"/>
          <w:right w:w="0" w:type="dxa"/>
        </w:tblCellMar>
      </w:tblPr>
      <w:tblGrid/>
      <w:tr>
        <w:trPr>
          <w:trHeight w:hRule="atLeast" w:val="255"/>
        </w:trPr>
        <w:tc>
          <w:tcPr>
            <w:tcW w:w="5334" w:type="dxa"/>
            <w:tcBorders>
              <w:top w:val="single" w:sz="1" w:space="0" w:shadow="0" w:frame="0"/>
              <w:left w:val="single" w:sz="1" w:space="0" w:shadow="0" w:frame="0"/>
              <w:bottom w:val="single" w:sz="1" w:space="0" w:shadow="0" w:frame="0"/>
              <w:right w:val="none" w:sz="0" w:space="0" w:shadow="0" w:frame="0"/>
            </w:tcBorders>
          </w:tcPr>
          <w:p>
            <w:pPr>
              <w:jc w:val="center"/>
              <w:rPr>
                <w:rStyle w:val="C3"/>
                <w:rFonts w:ascii="Courier New" w:hAnsi="Courier New"/>
              </w:rPr>
            </w:pPr>
            <w:r>
              <w:rPr>
                <w:rStyle w:val="C3"/>
                <w:rFonts w:ascii="Courier New" w:hAnsi="Courier New"/>
              </w:rPr>
              <w:t>CONCEPTO</w:t>
            </w:r>
          </w:p>
        </w:tc>
        <w:tc>
          <w:tcPr>
            <w:tcW w:w="2320" w:type="dxa"/>
            <w:tcBorders>
              <w:top w:val="single" w:sz="1" w:space="0" w:shadow="0" w:frame="0"/>
              <w:left w:val="single" w:sz="1" w:space="0" w:shadow="0" w:frame="0"/>
              <w:bottom w:val="single" w:sz="1" w:space="0" w:shadow="0" w:frame="0"/>
              <w:right w:val="single" w:sz="1" w:space="0" w:shadow="0" w:frame="0"/>
            </w:tcBorders>
          </w:tcPr>
          <w:p>
            <w:pPr>
              <w:jc w:val="center"/>
              <w:rPr>
                <w:rStyle w:val="C3"/>
                <w:rFonts w:ascii="Courier New" w:hAnsi="Courier New"/>
              </w:rPr>
            </w:pPr>
            <w:r>
              <w:rPr>
                <w:rStyle w:val="C3"/>
                <w:rFonts w:ascii="Courier New" w:hAnsi="Courier New"/>
              </w:rPr>
              <w:t>PORCENTAJE</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Programa Municipal de Atención a la Desnutr. y Bajo Peso</w:t>
            </w:r>
          </w:p>
        </w:tc>
        <w:tc>
          <w:tcPr>
            <w:tcW w:w="2320" w:type="dxa"/>
            <w:tcBorders>
              <w:top w:val="none" w:sz="0" w:space="0" w:shadow="0" w:frame="0"/>
              <w:left w:val="single" w:sz="1" w:space="0" w:shadow="0" w:frame="0"/>
              <w:bottom w:val="none" w:sz="0" w:space="0" w:shadow="0" w:frame="0"/>
              <w:right w:val="single" w:sz="1" w:space="0" w:shadow="0" w:frame="0"/>
            </w:tcBorders>
          </w:tcPr>
          <w:p>
            <w:pPr>
              <w:pStyle w:val="P15"/>
              <w:tabs>
                <w:tab w:val="clear" w:pos="4252" w:leader="none"/>
                <w:tab w:val="clear" w:pos="8504" w:leader="none"/>
              </w:tabs>
              <w:jc w:val="center"/>
              <w:rPr>
                <w:rStyle w:val="C3"/>
                <w:rFonts w:ascii="Courier New" w:hAnsi="Courier New"/>
              </w:rPr>
            </w:pPr>
            <w:r>
              <w:rPr>
                <w:rStyle w:val="C3"/>
                <w:rFonts w:ascii="Courier New" w:hAnsi="Courier New"/>
              </w:rPr>
              <w:t>7,5%</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Otros Programas</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5%</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Programa Municipal de Contención Infantil</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10%</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Programa Municipal de Protección Permanente al Anciano</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10%</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Ayuda a Carenciados</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15%</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Pensiones a la Vejez</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15%</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Programa Municipal de Salud Animal</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6,5%</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Programa Sol</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5%</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Programa Yo Sí Puedo</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5%</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Subvenciones y Subsidioso</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7,5%</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Ayuda a Vecinos Obra de Gas</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5%</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Ayuda a Vecinos Obra de Cloacas</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1%</w:t>
            </w:r>
          </w:p>
        </w:tc>
      </w:tr>
      <w:tr>
        <w:tblPrEx>
          <w:tblLayout w:type="fixed"/>
        </w:tblPrEx>
        <w:trPr>
          <w:trHeight w:hRule="atLeast" w:val="255"/>
        </w:trPr>
        <w:tc>
          <w:tcPr>
            <w:tcW w:w="5334" w:type="dxa"/>
            <w:tcBorders>
              <w:top w:val="none" w:sz="0" w:space="0" w:shadow="0" w:frame="0"/>
              <w:left w:val="single" w:sz="1" w:space="0" w:shadow="0" w:frame="0"/>
              <w:bottom w:val="none" w:sz="0" w:space="0" w:shadow="0" w:frame="0"/>
              <w:right w:val="none" w:sz="0" w:space="0" w:shadow="0" w:frame="0"/>
            </w:tcBorders>
          </w:tcPr>
          <w:p>
            <w:pPr>
              <w:rPr>
                <w:rStyle w:val="C3"/>
                <w:rFonts w:ascii="Courier New" w:hAnsi="Courier New"/>
              </w:rPr>
            </w:pPr>
            <w:r>
              <w:rPr>
                <w:rStyle w:val="C3"/>
                <w:rFonts w:ascii="Courier New" w:hAnsi="Courier New"/>
              </w:rPr>
              <w:t>Acompañamiento a Procesos de Violencia Familiar</w:t>
            </w:r>
          </w:p>
        </w:tc>
        <w:tc>
          <w:tcPr>
            <w:tcW w:w="2320" w:type="dxa"/>
            <w:tcBorders>
              <w:top w:val="none" w:sz="0" w:space="0" w:shadow="0" w:frame="0"/>
              <w:left w:val="single" w:sz="1" w:space="0" w:shadow="0" w:frame="0"/>
              <w:bottom w:val="none" w:sz="0" w:space="0" w:shadow="0" w:frame="0"/>
              <w:right w:val="single" w:sz="1" w:space="0" w:shadow="0" w:frame="0"/>
            </w:tcBorders>
          </w:tcPr>
          <w:p>
            <w:pPr>
              <w:jc w:val="center"/>
              <w:rPr>
                <w:rStyle w:val="C3"/>
                <w:rFonts w:ascii="Courier New" w:hAnsi="Courier New"/>
              </w:rPr>
            </w:pPr>
            <w:r>
              <w:rPr>
                <w:rStyle w:val="C3"/>
                <w:rFonts w:ascii="Courier New" w:hAnsi="Courier New"/>
              </w:rPr>
              <w:t>7,5%</w:t>
            </w:r>
          </w:p>
        </w:tc>
      </w:tr>
      <w:tr>
        <w:tblPrEx>
          <w:tblLayout w:type="fixed"/>
        </w:tblPrEx>
        <w:trPr>
          <w:trHeight w:hRule="atLeast" w:val="255"/>
        </w:trPr>
        <w:tc>
          <w:tcPr>
            <w:tcW w:w="5334" w:type="dxa"/>
            <w:tcBorders>
              <w:top w:val="single" w:sz="1" w:space="0" w:shadow="0" w:frame="0"/>
              <w:left w:val="single" w:sz="1" w:space="0" w:shadow="0" w:frame="0"/>
              <w:bottom w:val="single" w:sz="1" w:space="0" w:shadow="0" w:frame="0"/>
              <w:right w:val="none" w:sz="0" w:space="0" w:shadow="0" w:frame="0"/>
            </w:tcBorders>
          </w:tcPr>
          <w:p>
            <w:pPr>
              <w:rPr>
                <w:rStyle w:val="C3"/>
                <w:rFonts w:ascii="Courier New" w:hAnsi="Courier New"/>
              </w:rPr>
            </w:pPr>
            <w:r>
              <w:rPr>
                <w:rStyle w:val="C3"/>
                <w:rFonts w:ascii="Courier New" w:hAnsi="Courier New"/>
              </w:rPr>
              <w:t>TOTAL</w:t>
            </w:r>
          </w:p>
        </w:tc>
        <w:tc>
          <w:tcPr>
            <w:tcW w:w="2320" w:type="dxa"/>
            <w:tcBorders>
              <w:top w:val="single" w:sz="1" w:space="0" w:shadow="0" w:frame="0"/>
              <w:left w:val="single" w:sz="1" w:space="0" w:shadow="0" w:frame="0"/>
              <w:bottom w:val="single" w:sz="1" w:space="0" w:shadow="0" w:frame="0"/>
              <w:right w:val="single" w:sz="1" w:space="0" w:shadow="0" w:frame="0"/>
            </w:tcBorders>
          </w:tcPr>
          <w:p>
            <w:pPr>
              <w:jc w:val="center"/>
              <w:rPr>
                <w:rStyle w:val="C3"/>
                <w:rFonts w:ascii="Courier New" w:hAnsi="Courier New"/>
              </w:rPr>
            </w:pPr>
            <w:r>
              <w:rPr>
                <w:rStyle w:val="C3"/>
                <w:rFonts w:ascii="Courier New" w:hAnsi="Courier New"/>
              </w:rPr>
              <w:t>100%</w:t>
            </w:r>
          </w:p>
        </w:tc>
      </w:tr>
    </w:tbl>
    <w:p>
      <w:pPr>
        <w:ind w:hanging="374" w:left="374"/>
        <w:jc w:val="right"/>
        <w:rPr>
          <w:rStyle w:val="C3"/>
          <w:rFonts w:ascii="Courier New" w:hAnsi="Courier New"/>
        </w:rPr>
      </w:pPr>
      <w:r>
        <w:rPr>
          <w:rStyle w:val="C3"/>
          <w:rFonts w:ascii="Courier New" w:hAnsi="Courier New"/>
        </w:rPr>
        <w:t>...///</w:t>
      </w:r>
    </w:p>
    <w:p>
      <w:pPr>
        <w:jc w:val="both"/>
        <w:rPr>
          <w:rStyle w:val="C3"/>
          <w:rFonts w:ascii="Courier New" w:hAnsi="Courier New"/>
        </w:rPr>
      </w:pPr>
    </w:p>
    <w:p>
      <w:pPr>
        <w:ind w:hanging="561" w:left="561"/>
        <w:jc w:val="right"/>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...///5.-</w:t>
      </w:r>
    </w:p>
    <w:p>
      <w:pPr>
        <w:pStyle w:val="P16"/>
        <w:rPr>
          <w:rStyle w:val="C3"/>
          <w:rFonts w:ascii="Courier New" w:hAnsi="Courier New"/>
          <w:b w:val="1"/>
          <w:sz w:val="24"/>
        </w:rPr>
      </w:pPr>
    </w:p>
    <w:p>
      <w:pPr>
        <w:pStyle w:val="P16"/>
        <w:rPr>
          <w:rStyle w:val="C3"/>
          <w:rFonts w:ascii="Courier New" w:hAnsi="Courier New"/>
          <w:b w:val="1"/>
          <w:sz w:val="24"/>
        </w:rPr>
      </w:pPr>
    </w:p>
    <w:p>
      <w:pPr>
        <w:pStyle w:val="P14"/>
        <w:jc w:val="center"/>
        <w:rPr>
          <w:rStyle w:val="C3"/>
          <w:u w:val="single"/>
        </w:rPr>
      </w:pPr>
      <w:r>
        <w:rPr>
          <w:rStyle w:val="C3"/>
          <w:u w:val="single"/>
        </w:rPr>
        <w:t>REGIMEN DE CONTRATACIONES</w:t>
      </w:r>
    </w:p>
    <w:p>
      <w:pPr>
        <w:pStyle w:val="P14"/>
        <w:jc w:val="center"/>
        <w:rPr>
          <w:rStyle w:val="C3"/>
          <w:u w:val="single"/>
        </w:rPr>
      </w:pPr>
    </w:p>
    <w:p>
      <w:pPr>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Art.7</w:t>
      </w:r>
      <w:r>
        <w:rPr>
          <w:rStyle w:val="C3"/>
          <w:rFonts w:ascii="Courier New" w:hAnsi="Courier New"/>
          <w:b w:val="1"/>
        </w:rPr>
        <w:t>: TODA</w:t>
      </w:r>
      <w:r>
        <w:rPr>
          <w:rStyle w:val="C3"/>
          <w:rFonts w:ascii="Courier New" w:hAnsi="Courier New"/>
        </w:rPr>
        <w:t xml:space="preserve"> contratación efectuada por el Estado Municipal, con excepción de los casos expresamente previstos en Ordenanzas especiales, debe realizarse mediante el procedimiento establecido en la presente Ordenanza.</w:t>
      </w:r>
    </w:p>
    <w:p>
      <w:pPr>
        <w:ind w:hanging="374" w:left="374"/>
        <w:jc w:val="both"/>
        <w:rPr>
          <w:rStyle w:val="C3"/>
          <w:rFonts w:ascii="Courier New" w:hAnsi="Courier New"/>
        </w:rPr>
      </w:pPr>
      <w:r>
        <w:rPr>
          <w:rStyle w:val="C3"/>
          <w:rFonts w:ascii="Courier New" w:hAnsi="Courier New"/>
        </w:rPr>
        <w:tab/>
        <w:t>El</w:t>
      </w:r>
      <w:r>
        <w:rPr>
          <w:rStyle w:val="C3"/>
          <w:rFonts w:ascii="Courier New" w:hAnsi="Courier New"/>
          <w:b w:val="1"/>
        </w:rPr>
        <w:t xml:space="preserve"> </w:t>
      </w:r>
      <w:r>
        <w:rPr>
          <w:rStyle w:val="C3"/>
          <w:rFonts w:ascii="Courier New" w:hAnsi="Courier New"/>
        </w:rPr>
        <w:t>procedimiento de selección del contratante será público, como regla general, salvo los casos dispuestos en los artículos siguientes.-</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Art.8</w:t>
      </w:r>
      <w:r>
        <w:rPr>
          <w:rStyle w:val="C3"/>
          <w:rFonts w:ascii="Courier New" w:hAnsi="Courier New"/>
          <w:b w:val="1"/>
        </w:rPr>
        <w:t xml:space="preserve">: TODA </w:t>
      </w:r>
      <w:r>
        <w:rPr>
          <w:rStyle w:val="C3"/>
          <w:rFonts w:ascii="Courier New" w:hAnsi="Courier New"/>
        </w:rPr>
        <w:t>venta de bienes del Patrimonio Municipal, se efectuará por Licitación o Remate Público, salvo excepción fundada en Ordenanza especial. El llamado será autorizado por el Concejo Deliberante, mediante la Sanción de la Ordenanza respectiva, correspondiendo la adjudicación al Departamento Ejecutivo, con arreglo a las bases fijadas en los respectivos pliegos de Condiciones Generales, Particulares y de Especificaciones Técnicas.</w:t>
      </w:r>
    </w:p>
    <w:p>
      <w:pPr>
        <w:ind w:left="374"/>
        <w:jc w:val="both"/>
        <w:rPr>
          <w:rStyle w:val="C3"/>
          <w:rFonts w:ascii="Courier New" w:hAnsi="Courier New"/>
        </w:rPr>
      </w:pPr>
      <w:r>
        <w:rPr>
          <w:rStyle w:val="C3"/>
          <w:rFonts w:ascii="Courier New" w:hAnsi="Courier New"/>
        </w:rPr>
        <w:t>Quien concurra a una licitación, no podrá alegar en caso alguno, falta de conocimiento del Pliego General de Condiciones ni de los Pliegos Particulares o de Especificaciones Técnicas, previstos en esta Ordenanza. El sólo hecho de concurrir, implica el perfecto conocimiento y comprensión de sus cláusulas. Tampoco se podrá alegar en ningún caso desconocimiento o mala interpretación del Pliego Particular, demás elementos de la documentación, ni de ninguna otra disposición que con ello tenga atinencia.-</w:t>
      </w:r>
    </w:p>
    <w:p>
      <w:pPr>
        <w:ind w:hanging="374" w:left="374"/>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Art.9</w:t>
      </w:r>
      <w:r>
        <w:rPr>
          <w:rStyle w:val="C3"/>
          <w:rFonts w:ascii="Courier New" w:hAnsi="Courier New"/>
          <w:b w:val="1"/>
        </w:rPr>
        <w:t>: NO</w:t>
      </w:r>
      <w:r>
        <w:rPr>
          <w:rStyle w:val="C3"/>
          <w:rFonts w:ascii="Courier New" w:hAnsi="Courier New"/>
        </w:rPr>
        <w:t xml:space="preserve"> serán admitidos a contratar con la Municipalidad de Alta Gracia, además de los que se hallen comprendidos en prohibiciones establecidas por las Leyes vigentes, aquellos contribuyentes que no hubieran dado satisfactorio cumplimiento a contratos celebrados anteriormente  con  el municipio y los deudores morosos, </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p>
    <w:p>
      <w:pPr>
        <w:ind w:hanging="374"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...///6.-</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definiéndose como tales a quienes mantengan un atraso de más de TRES (3) cuotas de cualquier contribución u obligación municipal. Asimismo, no podrán ser proponentes, contratistas ni concesionarios del municipio, los funcionarios y empleados del Estado en cualquiera de sus formas ni empleados de empresas concesionarias del Estado Municipal.</w:t>
      </w:r>
    </w:p>
    <w:p>
      <w:pPr>
        <w:ind w:hanging="374"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Podrán presentarse y contratarse los deudores morosos con el municipio bajo las siguientes condiciones:</w:t>
      </w:r>
    </w:p>
    <w:p>
      <w:pPr>
        <w:numPr>
          <w:ilvl w:val="0"/>
          <w:numId w:val="52"/>
        </w:numPr>
        <w:jc w:val="both"/>
        <w:rPr>
          <w:rStyle w:val="C3"/>
          <w:rFonts w:ascii="Courier New" w:hAnsi="Courier New"/>
        </w:rPr>
      </w:pPr>
      <w:r>
        <w:rPr>
          <w:rStyle w:val="C3"/>
          <w:rFonts w:ascii="Courier New" w:hAnsi="Courier New"/>
        </w:rPr>
        <w:t>Deberán ofrecer no menos del SETENTA POR CIENTO (70%) del monto de contratación como parte de pago o pago a cuenta de obligación vencida.</w:t>
      </w:r>
    </w:p>
    <w:p>
      <w:pPr>
        <w:numPr>
          <w:ilvl w:val="0"/>
          <w:numId w:val="52"/>
        </w:numPr>
        <w:jc w:val="both"/>
        <w:rPr>
          <w:rStyle w:val="C3"/>
          <w:rFonts w:ascii="Courier New" w:hAnsi="Courier New"/>
        </w:rPr>
      </w:pPr>
      <w:r>
        <w:rPr>
          <w:rStyle w:val="C3"/>
          <w:rFonts w:ascii="Courier New" w:hAnsi="Courier New"/>
        </w:rPr>
        <w:t>Ante igualdad de ofertas se tendrán en cuenta las siguientes instancias:</w:t>
      </w:r>
    </w:p>
    <w:p>
      <w:pPr>
        <w:ind w:left="374"/>
        <w:jc w:val="both"/>
        <w:rPr>
          <w:rStyle w:val="C3"/>
          <w:rFonts w:ascii="Courier New" w:hAnsi="Courier New"/>
        </w:rPr>
      </w:pPr>
    </w:p>
    <w:p>
      <w:pPr>
        <w:pStyle w:val="P11"/>
        <w:numPr>
          <w:ilvl w:val="0"/>
          <w:numId w:val="51"/>
        </w:numPr>
      </w:pPr>
      <w:r>
        <w:t>Entre un deudor moroso y un oferente local en situación normal, será adjudicado al que no registre deuda vencida.</w:t>
      </w:r>
    </w:p>
    <w:p>
      <w:pPr>
        <w:pStyle w:val="P11"/>
        <w:numPr>
          <w:ilvl w:val="0"/>
          <w:numId w:val="51"/>
        </w:numPr>
      </w:pPr>
      <w:r>
        <w:t>Entre DOS (2) deudores morosos se adjudicará al que registre menor tiempo de morosidad, sin considerar la oferta de pago a cuenta o cancelación.</w:t>
      </w:r>
    </w:p>
    <w:p>
      <w:pPr>
        <w:pStyle w:val="P11"/>
        <w:numPr>
          <w:ilvl w:val="0"/>
          <w:numId w:val="51"/>
        </w:numPr>
      </w:pPr>
      <w:r>
        <w:t>Entre UN (1) deudor moroso y UN (1) oferente no local se adjudicará al primero.</w:t>
      </w:r>
    </w:p>
    <w:p>
      <w:pPr>
        <w:ind w:left="935"/>
        <w:jc w:val="both"/>
        <w:rPr>
          <w:rStyle w:val="C3"/>
          <w:rFonts w:ascii="Courier New" w:hAnsi="Courier New"/>
        </w:rPr>
      </w:pPr>
      <w:r>
        <w:rPr>
          <w:rStyle w:val="C3"/>
          <w:rFonts w:ascii="Courier New" w:hAnsi="Courier New"/>
        </w:rPr>
        <w:t xml:space="preserve">Sólo cuando existan razones fundadas en el arte, especialidad o profesión de una persona para realizar una obra o prestar un servicio o actividad determinada, se podrá contratar a un funcionario o  agente del Estado Nacional, Provincial o de otro Municipio, en estos casos la contratación será Ad Referéndum del Concejo Deliberante. Los contratos mencionados no tendrán principio de ejecución antes de la aprobación por parte del Concejo Deliberante.-</w:t>
      </w:r>
    </w:p>
    <w:p>
      <w:pPr>
        <w:rPr>
          <w:rStyle w:val="C3"/>
          <w:rFonts w:ascii="Courier New" w:hAnsi="Courier New"/>
        </w:rPr>
      </w:pPr>
    </w:p>
    <w:p>
      <w:pPr>
        <w:rPr>
          <w:rStyle w:val="C3"/>
          <w:rFonts w:ascii="Courier New" w:hAnsi="Courier New"/>
        </w:rPr>
      </w:pPr>
    </w:p>
    <w:p>
      <w:pPr>
        <w:pStyle w:val="P6"/>
        <w:jc w:val="center"/>
        <w:rPr>
          <w:rStyle w:val="C3"/>
          <w:b w:val="1"/>
        </w:rPr>
      </w:pPr>
      <w:r>
        <w:rPr>
          <w:rStyle w:val="C3"/>
          <w:b w:val="1"/>
        </w:rPr>
        <w:t>Licitación</w:t>
      </w:r>
    </w:p>
    <w:p>
      <w:pPr>
        <w:rPr>
          <w:rStyle w:val="C3"/>
          <w:rFonts w:ascii="Courier New" w:hAnsi="Courier New"/>
          <w:b w:val="1"/>
          <w:u w:val="single"/>
        </w:rPr>
      </w:pPr>
    </w:p>
    <w:p>
      <w:pPr>
        <w:ind w:hanging="851" w:left="851"/>
        <w:jc w:val="right"/>
        <w:rPr>
          <w:rStyle w:val="C3"/>
          <w:rFonts w:ascii="Courier New" w:hAnsi="Courier New"/>
        </w:rPr>
      </w:pPr>
      <w:r>
        <w:rPr>
          <w:rStyle w:val="C3"/>
          <w:rFonts w:ascii="Courier New" w:hAnsi="Courier New"/>
        </w:rPr>
        <w:t>...///</w:t>
      </w:r>
    </w:p>
    <w:p>
      <w:pPr>
        <w:ind w:hanging="851" w:left="851"/>
        <w:jc w:val="both"/>
        <w:rPr>
          <w:rStyle w:val="C3"/>
          <w:rFonts w:ascii="Courier New" w:hAnsi="Courier New"/>
          <w:b w:val="1"/>
        </w:rPr>
      </w:pPr>
    </w:p>
    <w:p>
      <w:pPr>
        <w:ind w:hanging="851" w:left="851"/>
        <w:jc w:val="both"/>
        <w:rPr>
          <w:rStyle w:val="C3"/>
          <w:rFonts w:ascii="Courier New" w:hAnsi="Courier New"/>
          <w:b w:val="1"/>
        </w:rPr>
      </w:pPr>
    </w:p>
    <w:p>
      <w:pPr>
        <w:ind w:hanging="851" w:left="851"/>
        <w:jc w:val="both"/>
        <w:rPr>
          <w:rStyle w:val="C3"/>
          <w:rFonts w:ascii="Courier New" w:hAnsi="Courier New"/>
          <w:b w:val="1"/>
        </w:rPr>
      </w:pPr>
    </w:p>
    <w:p>
      <w:pPr>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...///7.-</w:t>
      </w:r>
    </w:p>
    <w:p>
      <w:pPr>
        <w:ind w:hanging="851" w:left="851"/>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Art.10</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CUANDO </w:t>
      </w:r>
      <w:r>
        <w:rPr>
          <w:rStyle w:val="C3"/>
          <w:rFonts w:ascii="Courier New" w:hAnsi="Courier New"/>
        </w:rPr>
        <w:t>el monto de la contratación supere el monto de PESOS QUINIENTOS MIL ($ 500.000,oo),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p>
    <w:p>
      <w:pPr>
        <w:ind w:hanging="851" w:left="851"/>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Art.11</w:t>
      </w:r>
      <w:r>
        <w:rPr>
          <w:rStyle w:val="C3"/>
          <w:rFonts w:ascii="Courier New" w:hAnsi="Courier New"/>
          <w:b w:val="1"/>
        </w:rPr>
        <w:t xml:space="preserve">: EL </w:t>
      </w:r>
      <w:r>
        <w:rPr>
          <w:rStyle w:val="C3"/>
          <w:rFonts w:ascii="Courier New" w:hAnsi="Courier New"/>
        </w:rPr>
        <w:t>procedimiento, deberá cumplirse de tal forma que favorezca la concurrencia de la mayor cantidad de oferentes, asegure su igualdad y la defensa de los intereses públicos.-</w:t>
      </w:r>
    </w:p>
    <w:p>
      <w:pPr>
        <w:rPr>
          <w:rStyle w:val="C3"/>
          <w:rFonts w:ascii="Courier New" w:hAnsi="Courier New"/>
          <w:b w:val="1"/>
          <w:u w:val="single"/>
        </w:rPr>
      </w:pPr>
    </w:p>
    <w:p>
      <w:pPr>
        <w:pStyle w:val="P3"/>
        <w:jc w:val="left"/>
        <w:rPr>
          <w:rStyle w:val="C3"/>
          <w:rFonts w:ascii="Courier New" w:hAnsi="Courier New"/>
          <w:u w:val="single"/>
        </w:rPr>
      </w:pPr>
    </w:p>
    <w:p>
      <w:pPr>
        <w:pStyle w:val="P3"/>
        <w:rPr>
          <w:rStyle w:val="C3"/>
          <w:rFonts w:ascii="Courier New" w:hAnsi="Courier New"/>
          <w:u w:val="single"/>
        </w:rPr>
      </w:pPr>
      <w:r>
        <w:rPr>
          <w:rStyle w:val="C3"/>
          <w:rFonts w:ascii="Courier New" w:hAnsi="Courier New"/>
          <w:u w:val="single"/>
        </w:rPr>
        <w:t>Pliego de Condiciones</w:t>
      </w:r>
    </w:p>
    <w:p>
      <w:pPr>
        <w:rPr>
          <w:rStyle w:val="C3"/>
        </w:rPr>
      </w:pPr>
    </w:p>
    <w:p>
      <w:pPr>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xml:space="preserve">: LOS </w:t>
      </w:r>
      <w:r>
        <w:rPr>
          <w:rStyle w:val="C3"/>
          <w:rFonts w:ascii="Courier New" w:hAnsi="Courier New"/>
        </w:rPr>
        <w:t>Pliegos de Condiciones deberán contemplar las siguientes especificaciones:</w:t>
      </w:r>
    </w:p>
    <w:p>
      <w:pPr>
        <w:numPr>
          <w:ilvl w:val="0"/>
          <w:numId w:val="53"/>
        </w:numPr>
        <w:jc w:val="both"/>
        <w:rPr>
          <w:rStyle w:val="C3"/>
          <w:rFonts w:ascii="Courier New" w:hAnsi="Courier New"/>
        </w:rPr>
      </w:pPr>
      <w:r>
        <w:rPr>
          <w:rStyle w:val="C3"/>
          <w:rFonts w:ascii="Courier New" w:hAnsi="Courier New"/>
          <w:b w:val="1"/>
          <w:u w:val="single"/>
        </w:rPr>
        <w:t>Objeto de la Licitación:</w:t>
      </w:r>
      <w:r>
        <w:rPr>
          <w:rStyle w:val="C3"/>
          <w:rFonts w:ascii="Courier New" w:hAnsi="Courier New"/>
          <w:b w:val="1"/>
        </w:rPr>
        <w:t xml:space="preserve"> </w:t>
      </w:r>
      <w:r>
        <w:rPr>
          <w:rStyle w:val="C3"/>
          <w:rFonts w:ascii="Courier New" w:hAnsi="Courier New"/>
        </w:rPr>
        <w:t xml:space="preserve">Deberá individualizarse exactamente el objeto de la contratación, cuidando de preservar la concurrencia de la mayor cantidad de oferentes.- </w:t>
      </w:r>
    </w:p>
    <w:p>
      <w:pPr>
        <w:numPr>
          <w:ilvl w:val="0"/>
          <w:numId w:val="53"/>
        </w:numPr>
        <w:jc w:val="both"/>
        <w:rPr>
          <w:rStyle w:val="C3"/>
          <w:rFonts w:ascii="Courier New" w:hAnsi="Courier New"/>
        </w:rPr>
      </w:pPr>
      <w:r>
        <w:rPr>
          <w:rStyle w:val="C3"/>
          <w:rFonts w:ascii="Courier New" w:hAnsi="Courier New"/>
          <w:b w:val="1"/>
          <w:u w:val="single"/>
        </w:rPr>
        <w:t>Características Técnicas:</w:t>
      </w:r>
      <w:r>
        <w:rPr>
          <w:rStyle w:val="C3"/>
          <w:rFonts w:ascii="Courier New" w:hAnsi="Courier New"/>
        </w:rPr>
        <w:t xml:space="preserve"> Deberán contener las especificaciones técnicas del objeto a contratar, evitando referirlas a determinadas marcas o detalles que puedan sugerir parcialidad.- </w:t>
      </w:r>
    </w:p>
    <w:p>
      <w:pPr>
        <w:numPr>
          <w:ilvl w:val="0"/>
          <w:numId w:val="53"/>
        </w:numPr>
        <w:jc w:val="both"/>
        <w:rPr>
          <w:rStyle w:val="C3"/>
          <w:rFonts w:ascii="Courier New" w:hAnsi="Courier New"/>
        </w:rPr>
      </w:pPr>
      <w:r>
        <w:rPr>
          <w:rStyle w:val="C3"/>
          <w:rFonts w:ascii="Courier New" w:hAnsi="Courier New"/>
          <w:b w:val="1"/>
          <w:u w:val="single"/>
        </w:rPr>
        <w:t>Cotización:</w:t>
      </w:r>
      <w:r>
        <w:rPr>
          <w:rStyle w:val="C3"/>
          <w:rFonts w:ascii="Courier New" w:hAnsi="Courier New"/>
        </w:rPr>
        <w:t xml:space="preserve"> Deberán preverse concreta y específicamente cada uno de los aspectos de las distintas    alternativas    de   pagos.    Deberán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...///8.-</w:t>
      </w:r>
    </w:p>
    <w:p>
      <w:pPr>
        <w:ind w:left="561"/>
        <w:jc w:val="both"/>
        <w:rPr>
          <w:rStyle w:val="C3"/>
          <w:rFonts w:ascii="Courier New" w:hAnsi="Courier New"/>
        </w:rPr>
      </w:pPr>
    </w:p>
    <w:p>
      <w:pPr>
        <w:ind w:left="1086"/>
        <w:jc w:val="both"/>
        <w:rPr>
          <w:rStyle w:val="C3"/>
          <w:rFonts w:ascii="Courier New" w:hAnsi="Courier New"/>
        </w:rPr>
      </w:pPr>
      <w:r>
        <w:rPr>
          <w:rStyle w:val="C3"/>
          <w:rFonts w:ascii="Courier New" w:hAnsi="Courier New"/>
        </w:rPr>
        <w:t xml:space="preserve">cotizaciones por cada una de las partes componentes del objeto de la contratación, debiendo indicarse en este caso si esto es al efecto del  estudio de las propuestas o para efectuar adjudicaciones parciales.- </w:t>
      </w:r>
    </w:p>
    <w:p>
      <w:pPr>
        <w:numPr>
          <w:ilvl w:val="0"/>
          <w:numId w:val="53"/>
        </w:numPr>
        <w:jc w:val="both"/>
        <w:rPr>
          <w:rStyle w:val="C3"/>
          <w:rFonts w:ascii="Courier New" w:hAnsi="Courier New"/>
        </w:rPr>
      </w:pPr>
      <w:r>
        <w:rPr>
          <w:rStyle w:val="C3"/>
          <w:rFonts w:ascii="Courier New" w:hAnsi="Courier New"/>
          <w:b w:val="1"/>
          <w:u w:val="single"/>
        </w:rPr>
        <w:t>Presupuesto Oficial:</w:t>
      </w:r>
      <w:r>
        <w:rPr>
          <w:rStyle w:val="C3"/>
          <w:rFonts w:ascii="Courier New" w:hAnsi="Courier New"/>
        </w:rPr>
        <w:t xml:space="preserve"> Se estimará el presupuesto oficial de la contratación expresándose su monto.-</w:t>
      </w:r>
    </w:p>
    <w:p>
      <w:pPr>
        <w:numPr>
          <w:ilvl w:val="0"/>
          <w:numId w:val="53"/>
        </w:numPr>
        <w:jc w:val="both"/>
        <w:rPr>
          <w:rStyle w:val="C3"/>
          <w:rFonts w:ascii="Courier New" w:hAnsi="Courier New"/>
        </w:rPr>
      </w:pPr>
      <w:r>
        <w:rPr>
          <w:rStyle w:val="C3"/>
          <w:rFonts w:ascii="Courier New" w:hAnsi="Courier New"/>
          <w:b w:val="1"/>
          <w:u w:val="single"/>
        </w:rPr>
        <w:t>Garantía de la Propuesta:</w:t>
      </w:r>
      <w:r>
        <w:rPr>
          <w:rStyle w:val="C3"/>
          <w:rFonts w:ascii="Courier New" w:hAnsi="Courier New"/>
        </w:rPr>
        <w:t xml:space="preserve"> Deberá constituirse conforme a las modalidades que se preverán y su importe resultará de aplicación del porcentaje que sobre el monto del presupuesto oficial se determine en el Pliego Particular respectivo.- </w:t>
      </w:r>
    </w:p>
    <w:p>
      <w:pPr>
        <w:numPr>
          <w:ilvl w:val="0"/>
          <w:numId w:val="53"/>
        </w:numPr>
        <w:jc w:val="both"/>
        <w:rPr>
          <w:rStyle w:val="C3"/>
          <w:rFonts w:ascii="Courier New" w:hAnsi="Courier New"/>
        </w:rPr>
      </w:pPr>
      <w:r>
        <w:rPr>
          <w:rStyle w:val="C3"/>
          <w:rFonts w:ascii="Courier New" w:hAnsi="Courier New"/>
          <w:b w:val="1"/>
          <w:u w:val="single"/>
        </w:rPr>
        <w:t>Garantía de Contrato y Garantía de Funcionamiento:</w:t>
      </w:r>
      <w:r>
        <w:rPr>
          <w:rStyle w:val="C3"/>
          <w:rFonts w:ascii="Courier New" w:hAnsi="Courier New"/>
        </w:rPr>
        <w:t xml:space="preserve"> Las características del objeto de la contratación determinarán el tipo y el término de dichas garantías.-</w:t>
      </w:r>
    </w:p>
    <w:p>
      <w:pPr>
        <w:numPr>
          <w:ilvl w:val="0"/>
          <w:numId w:val="53"/>
        </w:numPr>
        <w:jc w:val="both"/>
        <w:rPr>
          <w:rStyle w:val="C3"/>
          <w:rFonts w:ascii="Courier New" w:hAnsi="Courier New"/>
        </w:rPr>
      </w:pPr>
      <w:r>
        <w:rPr>
          <w:rStyle w:val="C3"/>
          <w:rFonts w:ascii="Courier New" w:hAnsi="Courier New"/>
          <w:b w:val="1"/>
          <w:u w:val="single"/>
        </w:rPr>
        <w:t>Pérdida de la Garantía de la Propuesta:</w:t>
      </w:r>
      <w:r>
        <w:rPr>
          <w:rStyle w:val="C3"/>
          <w:rFonts w:ascii="Courier New" w:hAnsi="Courier New"/>
        </w:rPr>
        <w:t xml:space="preserve"> El  desistimiento  de la oferta antes del vencimiento del plazo de validez, la falta de integración de la Garantía del Contrato, o la carencia de firma del Contrato respectivo cuando correspondiere acarreará la pérdida de la Garantía.-</w:t>
      </w:r>
    </w:p>
    <w:p>
      <w:pPr>
        <w:numPr>
          <w:ilvl w:val="0"/>
          <w:numId w:val="53"/>
        </w:numPr>
        <w:jc w:val="both"/>
        <w:rPr>
          <w:rStyle w:val="C3"/>
          <w:rFonts w:ascii="Courier New" w:hAnsi="Courier New"/>
        </w:rPr>
      </w:pPr>
      <w:r>
        <w:rPr>
          <w:rStyle w:val="C3"/>
          <w:rFonts w:ascii="Courier New" w:hAnsi="Courier New"/>
          <w:b w:val="1"/>
          <w:u w:val="single"/>
        </w:rPr>
        <w:t>Pérdida de la Garantía del Contrato:</w:t>
      </w:r>
      <w:r>
        <w:rPr>
          <w:rStyle w:val="C3"/>
          <w:rFonts w:ascii="Courier New" w:hAnsi="Courier New"/>
        </w:rPr>
        <w:t xml:space="preserve"> El incumplimiento de cualquiera de las obligaciones contractuales importará la pérdida de la garantía del contrato, si ésta se hubiera previsto. Caso contrario se afectará la garantía de la propuesta.-</w:t>
      </w:r>
    </w:p>
    <w:p>
      <w:pPr>
        <w:numPr>
          <w:ilvl w:val="0"/>
          <w:numId w:val="53"/>
        </w:numPr>
        <w:jc w:val="both"/>
        <w:rPr>
          <w:rStyle w:val="C3"/>
          <w:rFonts w:ascii="Courier New" w:hAnsi="Courier New"/>
        </w:rPr>
      </w:pPr>
      <w:r>
        <w:rPr>
          <w:rStyle w:val="C3"/>
          <w:rFonts w:ascii="Courier New" w:hAnsi="Courier New"/>
          <w:b w:val="1"/>
          <w:u w:val="single"/>
        </w:rPr>
        <w:t>Mantenimiento de la Oferta:</w:t>
      </w:r>
      <w:r>
        <w:rPr>
          <w:rStyle w:val="C3"/>
          <w:rFonts w:ascii="Courier New" w:hAnsi="Courier New"/>
        </w:rPr>
        <w:t xml:space="preserve"> Deberá determinarse el tiempo durante el cual el oferente se obliga a mantener su oferta. Todo plazo menor fijado por el proponente se tendrá por no escrito.-</w:t>
      </w:r>
      <w:r>
        <w:rPr>
          <w:rStyle w:val="C3"/>
          <w:rFonts w:ascii="Courier New" w:hAnsi="Courier New"/>
          <w:b w:val="1"/>
        </w:rPr>
        <w:t xml:space="preserve"> </w:t>
      </w:r>
    </w:p>
    <w:p>
      <w:pPr>
        <w:numPr>
          <w:ilvl w:val="0"/>
          <w:numId w:val="53"/>
        </w:numPr>
        <w:jc w:val="both"/>
        <w:rPr>
          <w:rStyle w:val="C3"/>
          <w:rFonts w:ascii="Courier New" w:hAnsi="Courier New"/>
        </w:rPr>
      </w:pPr>
      <w:r>
        <w:rPr>
          <w:rStyle w:val="C3"/>
          <w:rFonts w:ascii="Courier New" w:hAnsi="Courier New"/>
          <w:b w:val="1"/>
          <w:u w:val="single"/>
        </w:rPr>
        <w:t>Plazo de Cumplimiento</w:t>
      </w:r>
      <w:r>
        <w:rPr>
          <w:rStyle w:val="C3"/>
          <w:rFonts w:ascii="Courier New" w:hAnsi="Courier New"/>
          <w:b w:val="1"/>
        </w:rPr>
        <w:t xml:space="preserve">: </w:t>
      </w:r>
      <w:r>
        <w:rPr>
          <w:rStyle w:val="C3"/>
          <w:rFonts w:ascii="Courier New" w:hAnsi="Courier New"/>
        </w:rPr>
        <w:t xml:space="preserve">Deberá señalarse el plazo dentro del cual debe hacerse efectivo   el cumplimiento del contrato. -</w:t>
      </w:r>
    </w:p>
    <w:p>
      <w:pPr>
        <w:numPr>
          <w:ilvl w:val="0"/>
          <w:numId w:val="53"/>
        </w:numPr>
        <w:jc w:val="both"/>
        <w:rPr>
          <w:rStyle w:val="C3"/>
          <w:rFonts w:ascii="Courier New" w:hAnsi="Courier New"/>
        </w:rPr>
      </w:pPr>
      <w:r>
        <w:rPr>
          <w:rStyle w:val="C3"/>
          <w:rFonts w:ascii="Courier New" w:hAnsi="Courier New"/>
          <w:b w:val="1"/>
          <w:u w:val="single"/>
        </w:rPr>
        <w:t>Presentación de la Propuesta</w:t>
      </w:r>
      <w:r>
        <w:rPr>
          <w:rStyle w:val="C3"/>
          <w:rFonts w:ascii="Courier New" w:hAnsi="Courier New"/>
          <w:b w:val="1"/>
        </w:rPr>
        <w:t>:</w:t>
      </w:r>
      <w:r>
        <w:rPr>
          <w:rStyle w:val="C3"/>
          <w:rFonts w:ascii="Courier New" w:hAnsi="Courier New"/>
        </w:rPr>
        <w:t xml:space="preserve"> Las propuestas serán presentadas en DOS (2) sobres, ante la repartición Municipal que indique el Departamento Ejecutivo, sin membrete comercial, cerrados y lacrados, los que se denominarán "Sobre Presentación" y "Sobre Propuesta".</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r>
        <w:rPr>
          <w:rStyle w:val="C3"/>
          <w:rFonts w:ascii="Courier New" w:hAnsi="Courier New"/>
          <w:b w:val="1"/>
        </w:rPr>
        <w:tab/>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...///9.-</w:t>
      </w:r>
    </w:p>
    <w:p>
      <w:pPr>
        <w:jc w:val="both"/>
        <w:rPr>
          <w:rStyle w:val="C3"/>
          <w:rFonts w:ascii="Courier New" w:hAnsi="Courier New"/>
          <w:b w:val="1"/>
        </w:rPr>
      </w:pPr>
    </w:p>
    <w:p>
      <w:pPr>
        <w:ind w:left="561"/>
        <w:rPr>
          <w:rStyle w:val="C3"/>
          <w:rFonts w:ascii="Courier New" w:hAnsi="Courier New"/>
          <w:b w:val="1"/>
        </w:rPr>
      </w:pPr>
      <w:r>
        <w:rPr>
          <w:rStyle w:val="C3"/>
          <w:rFonts w:ascii="Courier New" w:hAnsi="Courier New"/>
          <w:b w:val="1"/>
        </w:rPr>
        <w:t xml:space="preserve"> </w:t>
      </w:r>
      <w:r>
        <w:rPr>
          <w:rStyle w:val="C3"/>
          <w:rFonts w:ascii="Courier New" w:hAnsi="Courier New"/>
          <w:b w:val="1"/>
          <w:u w:val="single"/>
        </w:rPr>
        <w:t xml:space="preserve">El Sobre  Presentación contendrá</w:t>
      </w:r>
      <w:r>
        <w:rPr>
          <w:rStyle w:val="C3"/>
          <w:rFonts w:ascii="Courier New" w:hAnsi="Courier New"/>
          <w:b w:val="1"/>
        </w:rPr>
        <w:t>:</w:t>
      </w:r>
    </w:p>
    <w:p>
      <w:pPr>
        <w:ind w:left="561"/>
        <w:rPr>
          <w:rStyle w:val="C3"/>
          <w:rFonts w:ascii="Courier New" w:hAnsi="Courier New"/>
          <w:b w:val="1"/>
          <w:u w:val="single"/>
        </w:rPr>
      </w:pPr>
    </w:p>
    <w:p>
      <w:pPr>
        <w:numPr>
          <w:ilvl w:val="0"/>
          <w:numId w:val="54"/>
        </w:numPr>
        <w:jc w:val="both"/>
        <w:rPr>
          <w:rStyle w:val="C3"/>
          <w:rFonts w:ascii="Courier New" w:hAnsi="Courier New"/>
        </w:rPr>
      </w:pPr>
      <w:r>
        <w:rPr>
          <w:rStyle w:val="C3"/>
          <w:rFonts w:ascii="Courier New" w:hAnsi="Courier New"/>
        </w:rPr>
        <w:t>Comprobante de la garantía exigida por el Pliego</w:t>
      </w:r>
    </w:p>
    <w:p>
      <w:pPr>
        <w:numPr>
          <w:ilvl w:val="0"/>
          <w:numId w:val="54"/>
        </w:numPr>
        <w:jc w:val="both"/>
        <w:rPr>
          <w:rStyle w:val="C3"/>
          <w:rFonts w:ascii="Courier New" w:hAnsi="Courier New"/>
        </w:rPr>
      </w:pPr>
      <w:r>
        <w:rPr>
          <w:rStyle w:val="C3"/>
          <w:rFonts w:ascii="Courier New" w:hAnsi="Courier New"/>
        </w:rPr>
        <w:t>Comprobante de la adquisición del Pliego de Bases y Condiciones de la Licitación.</w:t>
      </w:r>
    </w:p>
    <w:p>
      <w:pPr>
        <w:numPr>
          <w:ilvl w:val="0"/>
          <w:numId w:val="54"/>
        </w:numPr>
        <w:jc w:val="both"/>
        <w:rPr>
          <w:rStyle w:val="C3"/>
          <w:rFonts w:ascii="Courier New" w:hAnsi="Courier New"/>
        </w:rPr>
      </w:pPr>
      <w:r>
        <w:rPr>
          <w:rStyle w:val="C3"/>
          <w:rFonts w:ascii="Courier New" w:hAnsi="Courier New"/>
        </w:rPr>
        <w:t>Constancias de deudas Municipales.</w:t>
      </w:r>
    </w:p>
    <w:p>
      <w:pPr>
        <w:numPr>
          <w:ilvl w:val="0"/>
          <w:numId w:val="54"/>
        </w:numPr>
        <w:jc w:val="both"/>
        <w:rPr>
          <w:rStyle w:val="C3"/>
          <w:rFonts w:ascii="Courier New" w:hAnsi="Courier New"/>
        </w:rPr>
      </w:pPr>
      <w:r>
        <w:rPr>
          <w:rStyle w:val="C3"/>
          <w:rFonts w:ascii="Courier New" w:hAnsi="Courier New"/>
        </w:rPr>
        <w:t xml:space="preserve"> El sellado municipal y toda otra documentación que se solicite en el Pliego Particular respectivo.</w:t>
      </w:r>
    </w:p>
    <w:p>
      <w:pPr>
        <w:jc w:val="both"/>
        <w:rPr>
          <w:rStyle w:val="C3"/>
          <w:rFonts w:ascii="Courier New" w:hAnsi="Courier New"/>
          <w:b w:val="1"/>
          <w:u w:val="single"/>
        </w:rPr>
      </w:pPr>
    </w:p>
    <w:p>
      <w:pPr>
        <w:pStyle w:val="P17"/>
      </w:pPr>
      <w:r>
        <w:tab/>
      </w:r>
      <w:r>
        <w:rPr>
          <w:rStyle w:val="C3"/>
          <w:u w:val="single"/>
        </w:rPr>
        <w:t>El Sobre Propuesta contendrá</w:t>
      </w:r>
      <w:r>
        <w:t>:</w:t>
      </w:r>
    </w:p>
    <w:p>
      <w:pPr>
        <w:pStyle w:val="P17"/>
        <w:rPr>
          <w:rStyle w:val="C3"/>
          <w:u w:val="single"/>
        </w:rPr>
      </w:pPr>
    </w:p>
    <w:p>
      <w:pPr>
        <w:pStyle w:val="P11"/>
        <w:ind w:left="748"/>
      </w:pPr>
      <w:r>
        <w:t>La oferta por duplicado y la garantía técnica o de servicio, cuando correspondiere.</w:t>
        <w:tab/>
        <w:t xml:space="preserve">Las presentaciones que no llenen la totalidad de los requisitos establecidos, serán </w:t>
        <w:tab/>
        <w:t>agregadas como simple constancia de presentación, y los Sobres Propuestas serán devueltos en el acto sin abrir. Desde ese momento dichas propuestas quedarán automáticamente eliminadas de la Licitación.-</w:t>
      </w:r>
    </w:p>
    <w:p>
      <w:pPr>
        <w:jc w:val="both"/>
        <w:rPr>
          <w:rStyle w:val="C3"/>
          <w:rFonts w:ascii="Courier New" w:hAnsi="Courier New"/>
        </w:rPr>
      </w:pPr>
    </w:p>
    <w:p>
      <w:pPr>
        <w:jc w:val="both"/>
        <w:rPr>
          <w:rStyle w:val="C3"/>
          <w:rFonts w:ascii="Courier New" w:hAnsi="Courier New"/>
        </w:rPr>
      </w:pPr>
    </w:p>
    <w:p>
      <w:pPr>
        <w:pStyle w:val="P6"/>
        <w:jc w:val="center"/>
        <w:rPr>
          <w:rStyle w:val="C3"/>
          <w:b w:val="1"/>
        </w:rPr>
      </w:pPr>
      <w:r>
        <w:rPr>
          <w:rStyle w:val="C3"/>
          <w:b w:val="1"/>
        </w:rPr>
        <w:t>De las Propuestas y Adjudicación</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Art.13</w:t>
      </w:r>
      <w:r>
        <w:rPr>
          <w:rStyle w:val="C3"/>
          <w:rFonts w:ascii="Courier New" w:hAnsi="Courier New"/>
          <w:b w:val="1"/>
        </w:rPr>
        <w:t>: EN</w:t>
      </w:r>
      <w:r>
        <w:rPr>
          <w:rStyle w:val="C3"/>
          <w:rFonts w:ascii="Courier New" w:hAnsi="Courier New"/>
        </w:rPr>
        <w:t xml:space="preserve"> el lugar, día y hora establecidos mediante Decreto, el Departamento Ejecutivo procederá a abrir las propuestas en presencia de los interesados que concurran al acto. Después de leídas las mismas se labrará acta donde consten los precios de las cotizaciones  de cada una de las propuestas, como así también las observaciones que crean conveniente formular los presentes.-</w:t>
      </w:r>
    </w:p>
    <w:p>
      <w:pPr>
        <w:ind w:hanging="964" w:left="964"/>
        <w:jc w:val="both"/>
        <w:rPr>
          <w:rStyle w:val="C3"/>
          <w:rFonts w:ascii="Courier New" w:hAnsi="Courier New"/>
        </w:rPr>
      </w:pPr>
    </w:p>
    <w:p>
      <w:pPr>
        <w:ind w:hanging="964" w:left="964"/>
        <w:jc w:val="both"/>
        <w:rPr>
          <w:rStyle w:val="C3"/>
          <w:rFonts w:ascii="Courier New" w:hAnsi="Courier New"/>
        </w:rPr>
      </w:pPr>
    </w:p>
    <w:p>
      <w:pPr>
        <w:ind w:hanging="964" w:left="964"/>
        <w:jc w:val="center"/>
        <w:rPr>
          <w:rStyle w:val="C3"/>
          <w:rFonts w:ascii="Courier New" w:hAnsi="Courier New"/>
          <w:b w:val="1"/>
          <w:u w:val="single"/>
        </w:rPr>
      </w:pPr>
      <w:r>
        <w:rPr>
          <w:rStyle w:val="C3"/>
          <w:rFonts w:ascii="Courier New" w:hAnsi="Courier New"/>
          <w:b w:val="1"/>
          <w:u w:val="single"/>
        </w:rPr>
        <w:t>Comisión de Preadjudicación</w:t>
      </w:r>
    </w:p>
    <w:p>
      <w:pPr>
        <w:ind w:hanging="964" w:left="964"/>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Art.13 Bis</w:t>
      </w:r>
      <w:r>
        <w:rPr>
          <w:rStyle w:val="C3"/>
          <w:rFonts w:ascii="Courier New" w:hAnsi="Courier New"/>
          <w:b w:val="1"/>
        </w:rPr>
        <w:t>: CONFÓRMASE</w:t>
      </w:r>
      <w:r>
        <w:rPr>
          <w:rStyle w:val="C3"/>
          <w:rFonts w:ascii="Courier New" w:hAnsi="Courier New"/>
        </w:rPr>
        <w:t xml:space="preserve"> una Comisión de Preadjudicación que estará integrada por el Secretario de Economía y/o el Secretario del área de la que se haya hecho el requerimiento  objeto  del   Concurso  de  Precios  y/o </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...///10.-</w:t>
      </w:r>
    </w:p>
    <w:p>
      <w:pPr>
        <w:ind w:hanging="561" w:left="561"/>
        <w:jc w:val="both"/>
        <w:rPr>
          <w:rStyle w:val="C3"/>
          <w:rFonts w:ascii="Courier New" w:hAnsi="Courier New"/>
        </w:rPr>
      </w:pPr>
    </w:p>
    <w:p>
      <w:pPr>
        <w:ind w:left="374"/>
        <w:jc w:val="both"/>
        <w:rPr>
          <w:rStyle w:val="C3"/>
          <w:rFonts w:ascii="Courier New" w:hAnsi="Courier New"/>
          <w:b w:val="1"/>
        </w:rPr>
      </w:pPr>
      <w:r>
        <w:rPr>
          <w:rStyle w:val="C3"/>
          <w:rFonts w:ascii="Courier New" w:hAnsi="Courier New"/>
        </w:rPr>
        <w:t>Licitación, DOS (2) Concejales representantes de la mayoría, y UNO (1) por cada minoría integrante del Honorable Concejo Deliberante, cuyo dictamen será la base tenida en cuenta por el Departamento Ejecutivo para proceder a la adjudicación.-</w:t>
      </w:r>
    </w:p>
    <w:p>
      <w:pPr>
        <w:ind w:hanging="964" w:left="964"/>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EN</w:t>
      </w:r>
      <w:r>
        <w:rPr>
          <w:rStyle w:val="C3"/>
          <w:rFonts w:ascii="Courier New" w:hAnsi="Courier New"/>
        </w:rPr>
        <w:t xml:space="preserve"> el caso de enajenación, el Departamento Ejecutivo elevará dentro de los CINCO (5) días de la fecha de apertura de sobres, un estudio comparativo de las propuestas presentadas al Honorable Concejo Deliberante para su conocimiento, emitiendo opinión acerca de la que resulte conveniente. Este informe constituirá la base para el dictado del correspondiente Decreto de Adjudicación o aprobación de la subasta.-</w:t>
      </w:r>
    </w:p>
    <w:p>
      <w:pPr>
        <w:ind w:hanging="964" w:left="96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Art.15</w:t>
      </w:r>
      <w:r>
        <w:rPr>
          <w:rStyle w:val="C3"/>
          <w:rFonts w:ascii="Courier New" w:hAnsi="Courier New"/>
          <w:b w:val="1"/>
        </w:rPr>
        <w:t>: CUANDO</w:t>
      </w:r>
      <w:r>
        <w:rPr>
          <w:rStyle w:val="C3"/>
          <w:rFonts w:ascii="Courier New" w:hAnsi="Courier New"/>
        </w:rPr>
        <w:t xml:space="preserve"> no se hubieran presentado proponentes, la Licitación se declarará desierta mediante Decreto del Departamento Ejecutivo. En caso de que las ofertas no se ajusten al Pliego de Condiciones o modifiquen las bases establecidas, y no se hubiere aplicado el principio general dispuesto en el Art.12° último párrafo, se declararán inadmisibles las mismas, por acto emitido por Autoridad competente, para resolver sobre la adjudicación. En ambos casos el efecto jurídico será el mismo y podrá procederse por Decreto del Departamento Ejecutivo a un llamado con la misma Ordenanza y Pliego.-</w:t>
      </w:r>
    </w:p>
    <w:p>
      <w:pPr>
        <w:ind w:hanging="964" w:left="964"/>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Art.16</w:t>
      </w:r>
      <w:r>
        <w:rPr>
          <w:rStyle w:val="C3"/>
          <w:rFonts w:ascii="Courier New" w:hAnsi="Courier New"/>
          <w:b w:val="1"/>
        </w:rPr>
        <w:t>: LA</w:t>
      </w:r>
      <w:r>
        <w:rPr>
          <w:rStyle w:val="C3"/>
          <w:rFonts w:ascii="Courier New" w:hAnsi="Courier New"/>
        </w:rPr>
        <w:t xml:space="preserve"> autoridad competente para resolver la adjudicación podrá desestimar las propuestas y rechazarlas a todas, sin que ello de derecho a reclamo alguno, debiendo recabar para ello la decisión fundada del Departamento Ejecutivo.-</w:t>
      </w:r>
    </w:p>
    <w:p>
      <w:pPr>
        <w:ind w:hanging="964" w:left="96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Art.17</w:t>
      </w:r>
      <w:r>
        <w:rPr>
          <w:rStyle w:val="C3"/>
          <w:rFonts w:ascii="Courier New" w:hAnsi="Courier New"/>
          <w:b w:val="1"/>
        </w:rPr>
        <w:t>: LA</w:t>
      </w:r>
      <w:r>
        <w:rPr>
          <w:rStyle w:val="C3"/>
          <w:rFonts w:ascii="Courier New" w:hAnsi="Courier New"/>
        </w:rPr>
        <w:t xml:space="preserve"> adjudicación recaerá sobre la propuesta que a juicio de la autoridad competente sea la más ventajosa entre aquellas que se ajusten en un todo a las bases y </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...///11.-</w:t>
      </w:r>
    </w:p>
    <w:p>
      <w:pPr>
        <w:ind w:hanging="561" w:left="561"/>
        <w:jc w:val="both"/>
        <w:rPr>
          <w:rStyle w:val="C3"/>
          <w:rFonts w:ascii="Courier New" w:hAnsi="Courier New"/>
        </w:rPr>
      </w:pPr>
    </w:p>
    <w:p>
      <w:pPr>
        <w:ind w:left="374"/>
        <w:jc w:val="both"/>
        <w:rPr>
          <w:rStyle w:val="C3"/>
          <w:rFonts w:ascii="Courier New" w:hAnsi="Courier New"/>
        </w:rPr>
      </w:pPr>
      <w:r>
        <w:rPr>
          <w:rStyle w:val="C3"/>
          <w:rFonts w:ascii="Courier New" w:hAnsi="Courier New"/>
        </w:rPr>
        <w:t>condiciones establecidas para la Licitación. Entiéndase por Propuesta más ventajosa o conveniente a aquella que ajustada a las bases de la contratación y presentando equiparación y atributos técnicos similares entre ellas sea la de más bajo precio. La autoridad competente podrá decidir frente a la propuesta más conveniente sobre otra que habiendo cumplimentado los requisitos del Pliego y demás especificaciones del llamado, ofrezca mayores atributos técnicos, siempre que no exceda el DIEZ POR CIENTO (10%) del precio de la mencionada anteriormente. Igual criterio será de aplicación cuando se trate de contrataciones de Servicios Personales con relación a los antecedentes personales, comerciales o profesionales de los proponentes.-</w:t>
      </w:r>
    </w:p>
    <w:p>
      <w:pPr>
        <w:jc w:val="both"/>
        <w:rPr>
          <w:rStyle w:val="C3"/>
          <w:rFonts w:ascii="Courier New" w:hAnsi="Courier New"/>
        </w:rPr>
      </w:pPr>
    </w:p>
    <w:p>
      <w:pPr>
        <w:jc w:val="both"/>
        <w:rPr>
          <w:rStyle w:val="C3"/>
          <w:rFonts w:ascii="Courier New" w:hAnsi="Courier New"/>
        </w:rPr>
      </w:pPr>
    </w:p>
    <w:p>
      <w:pPr>
        <w:pStyle w:val="P7"/>
        <w:rPr>
          <w:rStyle w:val="C3"/>
          <w:sz w:val="24"/>
        </w:rPr>
      </w:pPr>
      <w:r>
        <w:rPr>
          <w:rStyle w:val="C3"/>
          <w:sz w:val="24"/>
        </w:rPr>
        <w:t>REMATE PÚBLICO</w:t>
      </w:r>
    </w:p>
    <w:p>
      <w:pPr>
        <w:rPr>
          <w:rStyle w:val="C3"/>
        </w:rPr>
      </w:pP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Art.18</w:t>
      </w:r>
      <w:r>
        <w:rPr>
          <w:rStyle w:val="C3"/>
          <w:rFonts w:ascii="Courier New" w:hAnsi="Courier New"/>
          <w:b w:val="1"/>
        </w:rPr>
        <w:t>: EL</w:t>
      </w:r>
      <w:r>
        <w:rPr>
          <w:rStyle w:val="C3"/>
          <w:rFonts w:ascii="Courier New" w:hAnsi="Courier New"/>
        </w:rPr>
        <w:t xml:space="preserve"> remate público será dispuesto mediante Ordenanza y realizado en la forma y condiciones que se determinan en los artículos siguientes.-</w:t>
      </w:r>
    </w:p>
    <w:p>
      <w:pPr>
        <w:ind w:hanging="1021" w:left="102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Art.19</w:t>
      </w:r>
      <w:r>
        <w:rPr>
          <w:rStyle w:val="C3"/>
          <w:rFonts w:ascii="Courier New" w:hAnsi="Courier New"/>
          <w:b w:val="1"/>
        </w:rPr>
        <w:t>: ANTES</w:t>
      </w:r>
      <w:r>
        <w:rPr>
          <w:rStyle w:val="C3"/>
          <w:rFonts w:ascii="Courier New" w:hAnsi="Courier New"/>
        </w:rPr>
        <w:t xml:space="preserve">  del remate, los bienes deberán ser valuados por el Consejo de Tasaciones de la Provincia, cuando se trate de inmuebles, y por Peritos o Funcionarios Municipales, cuando sean bienes muebles. La valuación establecida será la base del remate y no podrá adjudicarse venta alguna que no alcance a este monto. En casos especiales la intervención del Consejo de Tasaciones de la Provincia, podrá ser reemplazado por una Comisión Especial de Tasaciones que integrarán: UN (1) representante del Departamento Ejecutivo, DOS (2) Concejales representantes de la mayoría, y UNO (1) por cada minoría integrante del Honorable Concejo Deliberante y UNO (1) del Tribunal de Cuentas.-</w:t>
      </w:r>
    </w:p>
    <w:p>
      <w:pPr>
        <w:ind w:hanging="1021" w:left="1021"/>
        <w:jc w:val="right"/>
        <w:rPr>
          <w:rStyle w:val="C3"/>
          <w:rFonts w:ascii="Courier New" w:hAnsi="Courier New"/>
        </w:rPr>
      </w:pPr>
      <w:r>
        <w:rPr>
          <w:rStyle w:val="C3"/>
          <w:rFonts w:ascii="Courier New" w:hAnsi="Courier New"/>
        </w:rPr>
        <w:t>...///</w:t>
      </w:r>
    </w:p>
    <w:p>
      <w:pPr>
        <w:ind w:hanging="1021" w:left="1021"/>
        <w:jc w:val="both"/>
        <w:rPr>
          <w:rStyle w:val="C3"/>
          <w:rFonts w:ascii="Courier New" w:hAnsi="Courier New"/>
          <w:b w:val="1"/>
        </w:rPr>
      </w:pPr>
    </w:p>
    <w:p>
      <w:pPr>
        <w:ind w:hanging="1021" w:left="1021"/>
        <w:jc w:val="both"/>
        <w:rPr>
          <w:rStyle w:val="C3"/>
          <w:rFonts w:ascii="Courier New" w:hAnsi="Courier New"/>
          <w:b w:val="1"/>
        </w:rPr>
      </w:pPr>
    </w:p>
    <w:p>
      <w:pPr>
        <w:ind w:hanging="1021" w:left="1021"/>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...///12.-</w:t>
      </w:r>
    </w:p>
    <w:p>
      <w:pPr>
        <w:ind w:hanging="1021" w:left="1021"/>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Art.20</w:t>
      </w:r>
      <w:r>
        <w:rPr>
          <w:rStyle w:val="C3"/>
          <w:rFonts w:ascii="Courier New" w:hAnsi="Courier New"/>
          <w:b w:val="1"/>
        </w:rPr>
        <w:t>: EL</w:t>
      </w:r>
      <w:r>
        <w:rPr>
          <w:rStyle w:val="C3"/>
          <w:rFonts w:ascii="Courier New" w:hAnsi="Courier New"/>
        </w:rPr>
        <w:t xml:space="preserve"> lugar, día y hora del remate, forma de pago, descripción de los bienes, lugar donde pueden ser revisados y demás condiciones de la contratación, serán establecidos en la Ordenanza respectiva.-</w:t>
      </w:r>
    </w:p>
    <w:p>
      <w:pPr>
        <w:ind w:hanging="1021" w:left="1021"/>
        <w:jc w:val="both"/>
        <w:rPr>
          <w:rStyle w:val="C3"/>
          <w:rFonts w:ascii="Courier New" w:hAnsi="Courier New"/>
        </w:rPr>
      </w:pPr>
    </w:p>
    <w:p>
      <w:pPr>
        <w:ind w:hanging="561" w:left="374"/>
        <w:jc w:val="both"/>
        <w:rPr>
          <w:rStyle w:val="C3"/>
          <w:rFonts w:ascii="Courier New" w:hAnsi="Courier New"/>
        </w:rPr>
      </w:pPr>
      <w:r>
        <w:rPr>
          <w:rStyle w:val="C3"/>
          <w:rFonts w:ascii="Courier New" w:hAnsi="Courier New"/>
          <w:b w:val="1"/>
          <w:u w:val="single"/>
        </w:rPr>
        <w:t>Art.21</w:t>
      </w:r>
      <w:r>
        <w:rPr>
          <w:rStyle w:val="C3"/>
          <w:rFonts w:ascii="Courier New" w:hAnsi="Courier New"/>
          <w:b w:val="1"/>
        </w:rPr>
        <w:t>: LA</w:t>
      </w:r>
      <w:r>
        <w:rPr>
          <w:rStyle w:val="C3"/>
          <w:rFonts w:ascii="Courier New" w:hAnsi="Courier New"/>
        </w:rPr>
        <w:t xml:space="preserve"> publicidad consignando los datos anteriormente señalados se efectuará de conformidad a las disposiciones de los Arts.30° y 31° de la presente Ordenanza. Asimismo los anuncios del remate deberán insertarse en los lugares de acceso público.-</w:t>
      </w:r>
    </w:p>
    <w:p>
      <w:pPr>
        <w:ind w:hanging="1021" w:left="102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Art.22</w:t>
      </w:r>
      <w:r>
        <w:rPr>
          <w:rStyle w:val="C3"/>
          <w:rFonts w:ascii="Courier New" w:hAnsi="Courier New"/>
          <w:b w:val="1"/>
        </w:rPr>
        <w:t>: EN</w:t>
      </w:r>
      <w:r>
        <w:rPr>
          <w:rStyle w:val="C3"/>
          <w:rFonts w:ascii="Courier New" w:hAnsi="Courier New"/>
        </w:rPr>
        <w:t xml:space="preserve"> el lugar, día y hora establecidos, el rematador designado dará comienzo al acto leyendo en presencia del público asistente y del Funcionario Municipal actuante, la relación de los bienes y condiciones de la subasta. Las posturas que se realicen se señalarán sucesivamente y resultará preadjudicada aquella que no fuera mejorada en un espacio de tiempo de DOS (2) minutos.-</w:t>
      </w:r>
    </w:p>
    <w:p>
      <w:pPr>
        <w:ind w:hanging="1021" w:left="102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Art.23</w:t>
      </w:r>
      <w:r>
        <w:rPr>
          <w:rStyle w:val="C3"/>
          <w:rFonts w:ascii="Courier New" w:hAnsi="Courier New"/>
          <w:b w:val="1"/>
        </w:rPr>
        <w:t>: EN</w:t>
      </w:r>
      <w:r>
        <w:rPr>
          <w:rStyle w:val="C3"/>
          <w:rFonts w:ascii="Courier New" w:hAnsi="Courier New"/>
        </w:rPr>
        <w:t xml:space="preserve"> la oportunidad señalada en el Artículo anterior, deberá abonarse el TREINTA POR CIENTO (30%) del importe total de la subasta y el saldo se hará efectivo previo al retiro de los elementos sin perjuicio que cláusulas particulares prevean pagos y retiros parciales.-</w:t>
      </w:r>
    </w:p>
    <w:p>
      <w:pPr>
        <w:ind w:hanging="1021" w:left="102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Art.24</w:t>
      </w:r>
      <w:r>
        <w:rPr>
          <w:rStyle w:val="C3"/>
          <w:rFonts w:ascii="Courier New" w:hAnsi="Courier New"/>
          <w:b w:val="1"/>
        </w:rPr>
        <w:t>: TODO</w:t>
      </w:r>
      <w:r>
        <w:rPr>
          <w:rStyle w:val="C3"/>
          <w:rFonts w:ascii="Courier New" w:hAnsi="Courier New"/>
        </w:rPr>
        <w:t xml:space="preserve"> lo actuado se hará constar en acta labrada por el Funcionario Municipal actuante y suscripta por el rematador, los últimos postores y demás asistentes que quisieran hacerlo. Deberá dejarse constancia en la referida acta del domicilio que deje constituido el último postor (ganador de la puja) a todos los efectos del remate.-</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Art.25</w:t>
      </w:r>
      <w:r>
        <w:rPr>
          <w:rStyle w:val="C3"/>
          <w:rFonts w:ascii="Courier New" w:hAnsi="Courier New"/>
          <w:b w:val="1"/>
        </w:rPr>
        <w:t>: VERIFICADO</w:t>
      </w:r>
      <w:r>
        <w:rPr>
          <w:rStyle w:val="C3"/>
          <w:rFonts w:ascii="Courier New" w:hAnsi="Courier New"/>
        </w:rPr>
        <w:t xml:space="preserve"> el remate se elevarán todos los antecedentes al titular del Departamento Ejecutivo quien para  resolver  sobre  lo  actuado  deberá  ajustarse  a </w:t>
      </w:r>
    </w:p>
    <w:p>
      <w:pPr>
        <w:ind w:hanging="561" w:left="561"/>
        <w:jc w:val="right"/>
        <w:rPr>
          <w:rStyle w:val="C3"/>
          <w:rFonts w:ascii="Courier New" w:hAnsi="Courier New"/>
        </w:rPr>
      </w:pP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...///13.-</w:t>
      </w:r>
    </w:p>
    <w:p>
      <w:pPr>
        <w:ind w:left="561"/>
        <w:jc w:val="both"/>
        <w:rPr>
          <w:rStyle w:val="C3"/>
          <w:rFonts w:ascii="Courier New" w:hAnsi="Courier New"/>
        </w:rPr>
      </w:pPr>
    </w:p>
    <w:p>
      <w:pPr>
        <w:ind w:left="374"/>
        <w:jc w:val="both"/>
        <w:rPr>
          <w:rStyle w:val="C3"/>
          <w:rFonts w:ascii="Courier New" w:hAnsi="Courier New"/>
        </w:rPr>
      </w:pPr>
      <w:r>
        <w:rPr>
          <w:rStyle w:val="C3"/>
          <w:rFonts w:ascii="Courier New" w:hAnsi="Courier New"/>
        </w:rPr>
        <w:t>lo dispuesto en el Art.11° de la presente Ordenanza, dictando el Decreto de aprobación de la Subasta y en un término que no deberá exceder de QUINCE (15) días contados a partir de la fecha del remate.-</w:t>
      </w:r>
    </w:p>
    <w:p>
      <w:pPr>
        <w:ind w:hanging="1021" w:left="102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Art.26</w:t>
      </w:r>
      <w:r>
        <w:rPr>
          <w:rStyle w:val="C3"/>
          <w:rFonts w:ascii="Courier New" w:hAnsi="Courier New"/>
          <w:b w:val="1"/>
        </w:rPr>
        <w:t>: UNA</w:t>
      </w:r>
      <w:r>
        <w:rPr>
          <w:rStyle w:val="C3"/>
          <w:rFonts w:ascii="Courier New" w:hAnsi="Courier New"/>
        </w:rPr>
        <w:t xml:space="preserve"> vez perfeccionada la contratación en los términos del artículo anterior, si el adquirente no retirase los objetos comprados en el plazo establecido, deberá abonar en concepto de depósito, por cada día de demora el importe que establezca el Pliego Particular de Condiciones, el que en ningún caso podrá superar el UNO POR CIENTO (1%) diario del precio de la adquisición y hasta un máximo de TREINTA (30) días. Vencido este término el contrato se considerará rescindido por culpa del adquirente quien perderá el importe abonado en concepto de seña a que se refiere el Art.23° pudiendo la Municipalidad enajenar los bienes.</w:t>
      </w:r>
    </w:p>
    <w:p>
      <w:pPr>
        <w:ind w:hanging="1021" w:left="1021"/>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Art.27</w:t>
      </w:r>
      <w:r>
        <w:rPr>
          <w:rStyle w:val="C3"/>
          <w:rFonts w:ascii="Courier New" w:hAnsi="Courier New"/>
          <w:b w:val="1"/>
        </w:rPr>
        <w:t>: CUANDO</w:t>
      </w:r>
      <w:r>
        <w:rPr>
          <w:rStyle w:val="C3"/>
          <w:rFonts w:ascii="Courier New" w:hAnsi="Courier New"/>
        </w:rPr>
        <w:t xml:space="preserve"> el Estado Municipal deba adquirir bienes mediante este procedimiento deberá determinar previamente el precio máximo a pagar por los mismos. Dicha determinación podrá efectuarse por Decreto cuando el importe no exceda el límite fijado por el Art.35° inc. 3) para las contrataciones en forma directa, o límite fijado en el Art.28° para contrataciones por Concurso de Precios. Cuando excediera estos límites deberá ser fijado por Ordenanza del Honorable Concejo Deliberante.-</w:t>
      </w:r>
    </w:p>
    <w:p>
      <w:pPr>
        <w:jc w:val="both"/>
        <w:rPr>
          <w:rStyle w:val="C3"/>
          <w:rFonts w:ascii="Courier New" w:hAnsi="Courier New"/>
        </w:rPr>
      </w:pPr>
    </w:p>
    <w:p>
      <w:pPr>
        <w:jc w:val="both"/>
        <w:rPr>
          <w:rStyle w:val="C3"/>
          <w:rFonts w:ascii="Courier New" w:hAnsi="Courier New"/>
        </w:rPr>
      </w:pPr>
    </w:p>
    <w:p>
      <w:pPr>
        <w:pStyle w:val="P7"/>
        <w:rPr>
          <w:rStyle w:val="C3"/>
          <w:sz w:val="24"/>
        </w:rPr>
      </w:pPr>
      <w:r>
        <w:rPr>
          <w:rStyle w:val="C3"/>
          <w:sz w:val="24"/>
        </w:rPr>
        <w:t>CONCURSO DE PRECIOS</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Art.28</w:t>
      </w:r>
      <w:r>
        <w:rPr>
          <w:rStyle w:val="C3"/>
          <w:rFonts w:ascii="Courier New" w:hAnsi="Courier New"/>
          <w:b w:val="1"/>
        </w:rPr>
        <w:t>: CUANDO</w:t>
      </w:r>
      <w:r>
        <w:rPr>
          <w:rStyle w:val="C3"/>
          <w:rFonts w:ascii="Courier New" w:hAnsi="Courier New"/>
        </w:rPr>
        <w:t xml:space="preserve"> el monto de la contratación supere la suma de PESOS CUARENTA Y CINCO MIL ($45.000,oo), sin exceder la de PESOS QUINIENTOS MIL ($500.000,oo) la selección del contratista efectuará mediante Concurso de  Precios  dispuesto   por   Decreto  del   Departamento  Ejecutivo</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...///14.-</w:t>
      </w:r>
    </w:p>
    <w:p>
      <w:pPr>
        <w:ind w:hanging="561" w:left="561"/>
        <w:jc w:val="both"/>
        <w:rPr>
          <w:rStyle w:val="C3"/>
          <w:rFonts w:ascii="Courier New" w:hAnsi="Courier New"/>
        </w:rPr>
      </w:pPr>
    </w:p>
    <w:p>
      <w:pPr>
        <w:ind w:left="374"/>
        <w:jc w:val="both"/>
        <w:rPr>
          <w:rStyle w:val="C3"/>
          <w:rFonts w:ascii="Courier New" w:hAnsi="Courier New"/>
        </w:rPr>
      </w:pPr>
      <w:r>
        <w:rPr>
          <w:rStyle w:val="C3"/>
          <w:rFonts w:ascii="Courier New" w:hAnsi="Courier New"/>
        </w:rPr>
        <w:t>Municipal. Dicho tope podrá no ser de aplicación para el caso establecido en la última parte del Art.10°, pudiendo en ese respecto operar el Concurso sin límite en su monto cuando así se decida.-</w:t>
      </w:r>
    </w:p>
    <w:p>
      <w:pPr>
        <w:ind w:hanging="1021" w:left="102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Art.29</w:t>
      </w:r>
      <w:r>
        <w:rPr>
          <w:rStyle w:val="C3"/>
          <w:rFonts w:ascii="Courier New" w:hAnsi="Courier New"/>
          <w:b w:val="1"/>
        </w:rPr>
        <w:t>: SERÁN</w:t>
      </w:r>
      <w:r>
        <w:rPr>
          <w:rStyle w:val="C3"/>
          <w:rFonts w:ascii="Courier New" w:hAnsi="Courier New"/>
        </w:rPr>
        <w:t xml:space="preserve"> de aplicación al Concurso de Precios, las normas establecidas para las Licitaciones en los Arts. 11°,12°, 13°, 14°, 15°, 16° y 17°.-</w:t>
      </w:r>
    </w:p>
    <w:p>
      <w:pPr>
        <w:ind w:hanging="561" w:left="561"/>
        <w:jc w:val="both"/>
        <w:rPr>
          <w:rStyle w:val="C3"/>
          <w:rFonts w:ascii="Courier New" w:hAnsi="Courier New"/>
        </w:rPr>
      </w:pPr>
    </w:p>
    <w:p>
      <w:pPr>
        <w:jc w:val="both"/>
        <w:rPr>
          <w:rStyle w:val="C3"/>
          <w:rFonts w:ascii="Courier New" w:hAnsi="Courier New"/>
        </w:rPr>
      </w:pPr>
    </w:p>
    <w:p>
      <w:pPr>
        <w:pStyle w:val="P7"/>
        <w:rPr>
          <w:rStyle w:val="C3"/>
          <w:sz w:val="24"/>
        </w:rPr>
      </w:pPr>
      <w:r>
        <w:rPr>
          <w:rStyle w:val="C3"/>
          <w:sz w:val="24"/>
        </w:rPr>
        <w:t>PUBLICIDAD</w:t>
      </w:r>
    </w:p>
    <w:p>
      <w:pPr>
        <w:jc w:val="both"/>
        <w:rPr>
          <w:rStyle w:val="C3"/>
          <w:rFonts w:ascii="Courier New" w:hAnsi="Courier New"/>
        </w:rPr>
      </w:pP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Art.30</w:t>
      </w:r>
      <w:r>
        <w:rPr>
          <w:rStyle w:val="C3"/>
          <w:rFonts w:ascii="Courier New" w:hAnsi="Courier New"/>
          <w:b w:val="1"/>
        </w:rPr>
        <w:t>: LAS</w:t>
      </w:r>
      <w:r>
        <w:rPr>
          <w:rStyle w:val="C3"/>
          <w:rFonts w:ascii="Courier New" w:hAnsi="Courier New"/>
        </w:rPr>
        <w:t xml:space="preserve"> publicaciones deberán efectuarse con una anticipación mínima de CINCO (5) días a la fecha de la apertura de las propuestas en las licitaciones o en los concursos de precios. En caso de remate dicho término de anticipación se contará a partir del día previsto para la subasta.-</w:t>
      </w:r>
    </w:p>
    <w:p>
      <w:pPr>
        <w:jc w:val="both"/>
        <w:rPr>
          <w:rStyle w:val="C3"/>
          <w:rFonts w:ascii="Courier New" w:hAnsi="Courier New"/>
        </w:rPr>
      </w:pPr>
    </w:p>
    <w:p>
      <w:pPr>
        <w:pStyle w:val="P11"/>
        <w:ind w:hanging="374" w:left="374"/>
      </w:pPr>
      <w:r>
        <w:rPr>
          <w:rStyle w:val="C3"/>
          <w:b w:val="1"/>
          <w:u w:val="single"/>
        </w:rPr>
        <w:t>Art.31</w:t>
      </w:r>
      <w:r>
        <w:rPr>
          <w:rStyle w:val="C3"/>
          <w:b w:val="1"/>
        </w:rPr>
        <w:t>: EL</w:t>
      </w:r>
      <w:r>
        <w:t xml:space="preserve"> llamado a licitación y el anuncio de remate serán publicados durante DOS (2) días consecutivos en el Boletín Oficial y DOS (2) días alternados en el diario de circulación de la zona, cuando el presupuesto oficial en las licitaciones o la valuación base de los bienes a rematar no supere el monto que resulte de multiplicar por el coeficiente UNO COMA CINCO (1,5), el límite máximo que se establece para realizar concurso de precios según el Art.28° de esta Ordenanza. Cuando el presupuesto oficial en las licitaciones o la valuación base de los bienes a remate supere el monto establecido precedentemente, pero no excediendo el monto que resulte de multiplicar por TRES (3), el límite máximo que se establece para realizar concursos de precios según el Art.28° de esta Ordenanza serán publicados durante TRES (3) días consecutivos en el Boletín oficial y TRES (3) días alternados en el diario de circulación de la zona.-</w:t>
      </w:r>
    </w:p>
    <w:p>
      <w:pPr>
        <w:pStyle w:val="P11"/>
        <w:ind w:hanging="561" w:left="561"/>
        <w:jc w:val="right"/>
      </w:pPr>
      <w:r>
        <w:t>...///</w:t>
      </w:r>
    </w:p>
    <w:p>
      <w:pPr>
        <w:pStyle w:val="P11"/>
        <w:ind w:hanging="561" w:left="561"/>
      </w:pPr>
    </w:p>
    <w:p>
      <w:pPr>
        <w:pStyle w:val="P11"/>
        <w:ind w:hanging="561" w:left="561"/>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...///15.-</w:t>
      </w:r>
    </w:p>
    <w:p>
      <w:pPr>
        <w:pStyle w:val="P11"/>
        <w:ind w:hanging="561" w:left="561"/>
        <w:rPr>
          <w:rStyle w:val="C3"/>
        </w:rPr>
      </w:pPr>
    </w:p>
    <w:p>
      <w:pPr>
        <w:pStyle w:val="P11"/>
        <w:ind w:left="374"/>
      </w:pPr>
      <w:r>
        <w:t xml:space="preserve">Cuando el presupuesto oficial en las licitaciones o la valuación base de los bienes a rematar supere el monto establecido precedentemente, serán publicados durante un  mínimo de TRES (3) días y un máximo de SEIS (6) días consecutivos en el Boletín Oficial y un mínimo de TRES (3) días y máximo de SEIS (6) días alternados en un diario de circulación de la zona.-</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Art.32</w:t>
      </w:r>
      <w:r>
        <w:rPr>
          <w:rStyle w:val="C3"/>
          <w:rFonts w:ascii="Courier New" w:hAnsi="Courier New"/>
          <w:b w:val="1"/>
        </w:rPr>
        <w:t>: EL</w:t>
      </w:r>
      <w:r>
        <w:rPr>
          <w:rStyle w:val="C3"/>
          <w:rFonts w:ascii="Courier New" w:hAnsi="Courier New"/>
        </w:rPr>
        <w:t xml:space="preserve"> llamado a concurso será publicado durante DOS (2) días consecutivos en el Boletín Oficial de la Provincia y por UN (1) día en un periódico local. Cumplidos esos requisitos podrá adjudicarse el mismo aunque sólo exista un único oferente, cuando la respectiva oferta se ajuste a las condiciones del llamado y sea además conveniente al Estado Municipal. En su defecto podrá realizarse publicidad por medio de altavoces, colocación del llamado en lugares públicos, transparentes, carteles y/u otros medios requiriéndose en este caso TRES (3) oferentes para poder adjudicar; dicha publicidad deberá ser certificada por Autoridad Policial.-</w:t>
      </w:r>
    </w:p>
    <w:p>
      <w:pPr>
        <w:pStyle w:val="P8"/>
        <w:rPr>
          <w:rStyle w:val="C3"/>
        </w:rPr>
      </w:pPr>
    </w:p>
    <w:p>
      <w:pPr>
        <w:rPr>
          <w:rStyle w:val="C3"/>
          <w:rFonts w:ascii="Courier New" w:hAnsi="Courier New"/>
        </w:rPr>
      </w:pPr>
    </w:p>
    <w:p>
      <w:pPr>
        <w:pStyle w:val="P8"/>
        <w:rPr>
          <w:rStyle w:val="C3"/>
          <w:u w:val="single"/>
        </w:rPr>
      </w:pPr>
      <w:r>
        <w:rPr>
          <w:rStyle w:val="C3"/>
          <w:u w:val="single"/>
        </w:rPr>
        <w:t>Concurso Privado de Precios</w:t>
      </w:r>
    </w:p>
    <w:p>
      <w:pPr>
        <w:rPr>
          <w:rStyle w:val="C3"/>
        </w:rPr>
      </w:pP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Art.33</w:t>
      </w:r>
      <w:r>
        <w:rPr>
          <w:rStyle w:val="C3"/>
          <w:rFonts w:ascii="Courier New" w:hAnsi="Courier New"/>
          <w:b w:val="1"/>
        </w:rPr>
        <w:t xml:space="preserve">:  CUANDO</w:t>
      </w:r>
      <w:r>
        <w:rPr>
          <w:rStyle w:val="C3"/>
          <w:rFonts w:ascii="Courier New" w:hAnsi="Courier New"/>
        </w:rPr>
        <w:t xml:space="preserve"> el monto de la contratación supere la suma de PESOS QUINCE MIL ($ 15.000,oo), sin exceder la de PESOS CUARENTA Y CINCO MIL ($ 45.000,oo) la selección del contratista se efectuará mediante Concurso Privado de Precios dispuesto por Decreto del Departamento Ejecutivo Municipal.-</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Art.34</w:t>
      </w:r>
      <w:r>
        <w:rPr>
          <w:rStyle w:val="C3"/>
          <w:rFonts w:ascii="Courier New" w:hAnsi="Courier New"/>
          <w:b w:val="1"/>
        </w:rPr>
        <w:t>: SERÁN</w:t>
      </w:r>
      <w:r>
        <w:rPr>
          <w:rStyle w:val="C3"/>
          <w:rFonts w:ascii="Courier New" w:hAnsi="Courier New"/>
        </w:rPr>
        <w:t xml:space="preserve"> de aplicación al Concurso Privado de Precios, las normas establecidas para las Licitaciones en los Art. 11; Art. 12 Inc. a), b), c), i), j) y k), excepto </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...///16.-</w:t>
      </w:r>
    </w:p>
    <w:p>
      <w:pPr>
        <w:ind w:hanging="561" w:left="561"/>
        <w:jc w:val="both"/>
        <w:rPr>
          <w:rStyle w:val="C3"/>
          <w:rFonts w:ascii="Courier New" w:hAnsi="Courier New"/>
        </w:rPr>
      </w:pPr>
    </w:p>
    <w:p>
      <w:pPr>
        <w:ind w:left="374"/>
        <w:jc w:val="both"/>
        <w:rPr>
          <w:rStyle w:val="C3"/>
          <w:rFonts w:ascii="Courier New" w:hAnsi="Courier New"/>
        </w:rPr>
      </w:pPr>
      <w:r>
        <w:rPr>
          <w:rStyle w:val="C3"/>
          <w:rFonts w:ascii="Courier New" w:hAnsi="Courier New"/>
        </w:rPr>
        <w:t>los puntos 1), 2) de este inciso; Art.13; Art. 15; Art. 16 y Art. 17.-</w:t>
      </w:r>
    </w:p>
    <w:p>
      <w:pPr>
        <w:jc w:val="both"/>
        <w:rPr>
          <w:rStyle w:val="C3"/>
          <w:rFonts w:ascii="Courier New" w:hAnsi="Courier New"/>
        </w:rPr>
      </w:pPr>
    </w:p>
    <w:p>
      <w:pPr>
        <w:pStyle w:val="P7"/>
        <w:rPr>
          <w:rStyle w:val="C3"/>
          <w:sz w:val="24"/>
        </w:rPr>
      </w:pPr>
    </w:p>
    <w:p>
      <w:pPr>
        <w:pStyle w:val="P7"/>
        <w:rPr>
          <w:rStyle w:val="C3"/>
          <w:sz w:val="24"/>
        </w:rPr>
      </w:pPr>
      <w:r>
        <w:rPr>
          <w:rStyle w:val="C3"/>
          <w:sz w:val="24"/>
        </w:rPr>
        <w:t>CONTRATACIÓN DIRECTA</w:t>
      </w:r>
    </w:p>
    <w:p>
      <w:pPr>
        <w:rPr>
          <w:rStyle w:val="C3"/>
        </w:rPr>
      </w:pP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Art.35</w:t>
      </w:r>
      <w:r>
        <w:rPr>
          <w:rStyle w:val="C3"/>
          <w:rFonts w:ascii="Courier New" w:hAnsi="Courier New"/>
          <w:b w:val="1"/>
        </w:rPr>
        <w:t>: AUTORÍZASE</w:t>
      </w:r>
      <w:r>
        <w:rPr>
          <w:rStyle w:val="C3"/>
          <w:rFonts w:ascii="Courier New" w:hAnsi="Courier New"/>
        </w:rPr>
        <w:t xml:space="preserve"> al Departamento Ejecutivo a contratar en forma directa en los siguientes casos:</w:t>
      </w:r>
    </w:p>
    <w:p>
      <w:pPr>
        <w:ind w:left="374"/>
        <w:jc w:val="both"/>
        <w:rPr>
          <w:rStyle w:val="C3"/>
          <w:rFonts w:ascii="Courier New" w:hAnsi="Courier New"/>
        </w:rPr>
      </w:pPr>
      <w:r>
        <w:rPr>
          <w:rStyle w:val="C3"/>
          <w:rFonts w:ascii="Courier New" w:hAnsi="Courier New"/>
        </w:rPr>
        <w:t xml:space="preserve">1) Cuando el monto de la contratación no supere la suma de PESOS  ($ 800,oo) y puedan atenderse con los créditos disponibles que tengan asignados por las Partidas del Presupuesto de Gastos vigente como mínimo con un presupuesto.</w:t>
      </w:r>
    </w:p>
    <w:p>
      <w:pPr>
        <w:ind w:left="374"/>
        <w:jc w:val="both"/>
        <w:rPr>
          <w:rStyle w:val="C3"/>
          <w:rFonts w:ascii="Courier New" w:hAnsi="Courier New"/>
        </w:rPr>
      </w:pPr>
      <w:r>
        <w:rPr>
          <w:rStyle w:val="C3"/>
          <w:rFonts w:ascii="Courier New" w:hAnsi="Courier New"/>
        </w:rPr>
        <w:t>2) Cuando el monto de la contratación supere la suma de PESOS OCHOCIENTOS ($ 800,oo) y no excediendo la suma de PESOS TRES MIL ($ 3.000,oo) y pueda atenderse por los créditos disponibles que tengan asignados por las Partidas del Presupuesto de Gastos vigente, como mínimo con DOS (2) presupuestos.</w:t>
      </w:r>
    </w:p>
    <w:p>
      <w:pPr>
        <w:ind w:left="374"/>
        <w:jc w:val="both"/>
        <w:rPr>
          <w:rStyle w:val="C3"/>
          <w:rFonts w:ascii="Courier New" w:hAnsi="Courier New"/>
        </w:rPr>
      </w:pPr>
      <w:r>
        <w:rPr>
          <w:rStyle w:val="C3"/>
          <w:rFonts w:ascii="Courier New" w:hAnsi="Courier New"/>
        </w:rPr>
        <w:t>3) Cuando el monto supere la suma de PESOS TRES MIL ($ 3.000,oo.-) sin exceder la suma de PESOS QUINCE MIL ($ 15.000,oo.-), como mínimo con TRES (3) presupuestos.</w:t>
      </w:r>
    </w:p>
    <w:p>
      <w:pPr>
        <w:ind w:left="374"/>
        <w:jc w:val="both"/>
        <w:rPr>
          <w:rStyle w:val="C3"/>
          <w:rFonts w:ascii="Courier New" w:hAnsi="Courier New"/>
        </w:rPr>
      </w:pPr>
      <w:r>
        <w:rPr>
          <w:rStyle w:val="C3"/>
          <w:rFonts w:ascii="Courier New" w:hAnsi="Courier New"/>
        </w:rPr>
        <w:t>4) Cuando en caso de urgencia manifiesta y por necesidades imperiosas no pueda esperarse el resultado de un proceso licitatorio o de un concurso de precios sin afectar la prestación de asistencia y servicios públicos. Concluido el trámite administrativo, el Departamento Ejecutivo debe remitir al Honorable Concejo Deliberante, las constancias de las actuaciones labradas para su toma de conocimiento.</w:t>
      </w:r>
    </w:p>
    <w:p>
      <w:pPr>
        <w:ind w:left="374"/>
        <w:jc w:val="both"/>
        <w:rPr>
          <w:rStyle w:val="C3"/>
          <w:rFonts w:ascii="Courier New" w:hAnsi="Courier New"/>
        </w:rPr>
      </w:pPr>
      <w:r>
        <w:rPr>
          <w:rStyle w:val="C3"/>
          <w:rFonts w:ascii="Courier New" w:hAnsi="Courier New"/>
        </w:rPr>
        <w:t>5) Cuando hubiera sido declarada desierta una licitación o concurso por falta de oferentes.</w:t>
      </w:r>
    </w:p>
    <w:p>
      <w:pPr>
        <w:ind w:left="374"/>
        <w:jc w:val="both"/>
        <w:rPr>
          <w:rStyle w:val="C3"/>
          <w:rFonts w:ascii="Courier New" w:hAnsi="Courier New"/>
        </w:rPr>
      </w:pPr>
      <w:r>
        <w:rPr>
          <w:rStyle w:val="C3"/>
          <w:rFonts w:ascii="Courier New" w:hAnsi="Courier New"/>
        </w:rPr>
        <w:t>6) Cuando hubieran sido declaradas inadmisibles las propuestas de una licitación o concurso, por DOS (2) veces.</w:t>
      </w:r>
    </w:p>
    <w:p>
      <w:pPr>
        <w:ind w:left="709"/>
        <w:jc w:val="right"/>
        <w:rPr>
          <w:rStyle w:val="C3"/>
          <w:rFonts w:ascii="Courier New" w:hAnsi="Courier New"/>
        </w:rPr>
      </w:pPr>
      <w:r>
        <w:rPr>
          <w:rStyle w:val="C3"/>
          <w:rFonts w:ascii="Courier New" w:hAnsi="Courier New"/>
        </w:rPr>
        <w:t>...///</w:t>
      </w:r>
    </w:p>
    <w:p>
      <w:pPr>
        <w:ind w:left="709"/>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...///17.-</w:t>
      </w:r>
    </w:p>
    <w:p>
      <w:pPr>
        <w:ind w:left="709"/>
        <w:jc w:val="right"/>
        <w:rPr>
          <w:rStyle w:val="C3"/>
          <w:rFonts w:ascii="Courier New" w:hAnsi="Courier New"/>
        </w:rPr>
      </w:pPr>
    </w:p>
    <w:p>
      <w:pPr>
        <w:ind w:left="709"/>
        <w:jc w:val="both"/>
        <w:rPr>
          <w:rStyle w:val="C3"/>
          <w:rFonts w:ascii="Courier New" w:hAnsi="Courier New"/>
        </w:rPr>
      </w:pPr>
      <w:r>
        <w:rPr>
          <w:rStyle w:val="C3"/>
          <w:rFonts w:ascii="Courier New" w:hAnsi="Courier New"/>
        </w:rPr>
        <w:t>7) Cuando las obras, objetos o servicios a contratar sean de tal naturaleza que sólo puedan confiarse o adquirirse a especialistas de reconocida capacidad.</w:t>
      </w:r>
    </w:p>
    <w:p>
      <w:pPr>
        <w:ind w:left="709"/>
        <w:jc w:val="both"/>
        <w:rPr>
          <w:rStyle w:val="C3"/>
          <w:rFonts w:ascii="Courier New" w:hAnsi="Courier New"/>
        </w:rPr>
      </w:pPr>
      <w:r>
        <w:rPr>
          <w:rStyle w:val="C3"/>
          <w:rFonts w:ascii="Courier New" w:hAnsi="Courier New"/>
        </w:rPr>
        <w:t>8) Cuando se trate de productos fabricados o distribuidos por determinadas personas o entidades o que tengan un poseedor único y cuando no hubieren sustitutos convenientes.</w:t>
      </w:r>
    </w:p>
    <w:p>
      <w:pPr>
        <w:ind w:left="709"/>
        <w:jc w:val="both"/>
        <w:rPr>
          <w:rStyle w:val="C3"/>
          <w:rFonts w:ascii="Courier New" w:hAnsi="Courier New"/>
        </w:rPr>
      </w:pPr>
      <w:r>
        <w:rPr>
          <w:rStyle w:val="C3"/>
          <w:rFonts w:ascii="Courier New" w:hAnsi="Courier New"/>
        </w:rPr>
        <w:t xml:space="preserve">9) Cuando se trate de contrataciones que signifiquen la mayor conveniencia, con reparticiones públicas, entidades autárquicas, Sociedades de Economía Mixta, en las que tenga participación mayoritaria el Estado Nacional, Provincial o Municipal, Entidades de Bien Público y Asociaciones Civiles  sin fines de lucro, con personería jurídica.</w:t>
      </w:r>
    </w:p>
    <w:p>
      <w:pPr>
        <w:ind w:left="709"/>
        <w:jc w:val="both"/>
        <w:rPr>
          <w:rStyle w:val="C3"/>
          <w:rFonts w:ascii="Courier New" w:hAnsi="Courier New"/>
        </w:rPr>
      </w:pPr>
      <w:r>
        <w:rPr>
          <w:rStyle w:val="C3"/>
          <w:rFonts w:ascii="Courier New" w:hAnsi="Courier New"/>
        </w:rPr>
        <w:t>10) Cuando, en caso de prórroga de contratos de locación en los que el Estado Municipal sea locatario de bienes o servicios para las cuales no exista previa opción, se convenga la ampliación del plazo pactado, en tanto no se alteren los precios y éstos sólo sufran las modificaciones previstas en el contrato original o por la Ley que rija en la materia.</w:t>
      </w:r>
    </w:p>
    <w:p>
      <w:pPr>
        <w:ind w:left="709"/>
        <w:jc w:val="both"/>
        <w:rPr>
          <w:rStyle w:val="C3"/>
          <w:rFonts w:ascii="Courier New" w:hAnsi="Courier New"/>
        </w:rPr>
      </w:pPr>
      <w:r>
        <w:rPr>
          <w:rStyle w:val="C3"/>
          <w:rFonts w:ascii="Courier New" w:hAnsi="Courier New"/>
        </w:rPr>
        <w:t>11) Cuando se trate de adquisición de bienes o contratación de servicios que tengan precios oficiales. En el cotejo de otros aspectos que no sean los precios, deberá procederse conforme a las disposiciones de esta Ordenanza para las adquisiciones en general.</w:t>
      </w:r>
    </w:p>
    <w:p>
      <w:pPr>
        <w:ind w:left="709"/>
        <w:jc w:val="both"/>
        <w:rPr>
          <w:rStyle w:val="C3"/>
          <w:rFonts w:ascii="Courier New" w:hAnsi="Courier New"/>
        </w:rPr>
      </w:pPr>
      <w:r>
        <w:rPr>
          <w:rStyle w:val="C3"/>
          <w:rFonts w:ascii="Courier New" w:hAnsi="Courier New"/>
        </w:rPr>
        <w:t>12) Cuando se trate de la adquisición de cemento portland, a sus fabricantes o distribuidores, previo cotejo de precios.</w:t>
      </w:r>
    </w:p>
    <w:p>
      <w:pPr>
        <w:ind w:left="709"/>
        <w:jc w:val="both"/>
        <w:rPr>
          <w:rStyle w:val="C3"/>
          <w:rFonts w:ascii="Courier New" w:hAnsi="Courier New"/>
        </w:rPr>
      </w:pPr>
      <w:r>
        <w:rPr>
          <w:rStyle w:val="C3"/>
          <w:rFonts w:ascii="Courier New" w:hAnsi="Courier New"/>
        </w:rPr>
        <w:t xml:space="preserve">13) Cuando se trate de la reparación  de vehículos, motores, máquinas o equipos, cuando resulte indispensable el desarme total o parcial de la unidad para poder cotizar las reparaciones.</w:t>
      </w:r>
    </w:p>
    <w:p>
      <w:pPr>
        <w:ind w:left="709"/>
        <w:jc w:val="both"/>
        <w:rPr>
          <w:rStyle w:val="C3"/>
          <w:rFonts w:ascii="Courier New" w:hAnsi="Courier New"/>
        </w:rPr>
      </w:pPr>
      <w:r>
        <w:rPr>
          <w:rStyle w:val="C3"/>
          <w:rFonts w:ascii="Courier New" w:hAnsi="Courier New"/>
        </w:rPr>
        <w:t>14) Cuando medien razones de seguridad para la población debidamente acreditada.</w:t>
      </w:r>
    </w:p>
    <w:p>
      <w:pPr>
        <w:ind w:left="709"/>
        <w:jc w:val="both"/>
        <w:rPr>
          <w:rStyle w:val="C3"/>
          <w:rFonts w:ascii="Courier New" w:hAnsi="Courier New"/>
        </w:rPr>
      </w:pP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...///18.-</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 xml:space="preserve">15)  Cuando se trate de publicidad oficial de actos administrativos que se refieran a licitaciones, concursos y/o remates.</w:t>
      </w:r>
    </w:p>
    <w:p>
      <w:pPr>
        <w:ind w:left="709"/>
        <w:jc w:val="both"/>
        <w:rPr>
          <w:rStyle w:val="C3"/>
          <w:rFonts w:ascii="Courier New" w:hAnsi="Courier New"/>
        </w:rPr>
      </w:pPr>
      <w:r>
        <w:rPr>
          <w:rStyle w:val="C3"/>
          <w:rFonts w:ascii="Courier New" w:hAnsi="Courier New"/>
        </w:rPr>
        <w:t>16) La adquisición de elementos perecederos para consumo de vecinos y/o entidades como consecuencia de necesidades sociales manifiestas.</w:t>
      </w:r>
    </w:p>
    <w:p>
      <w:pPr>
        <w:ind w:left="709"/>
        <w:jc w:val="both"/>
        <w:rPr>
          <w:rStyle w:val="C3"/>
          <w:rFonts w:ascii="Courier New" w:hAnsi="Courier New"/>
        </w:rPr>
      </w:pPr>
      <w:r>
        <w:rPr>
          <w:rStyle w:val="C3"/>
          <w:rFonts w:ascii="Courier New" w:hAnsi="Courier New"/>
        </w:rPr>
        <w:t>17) La locación o el arrendamiento de inmuebles destinados al funcionamiento de reparticiones y oficinas municipales.</w:t>
      </w:r>
    </w:p>
    <w:p>
      <w:pPr>
        <w:ind w:left="709"/>
        <w:jc w:val="both"/>
        <w:rPr>
          <w:rStyle w:val="C3"/>
          <w:rFonts w:ascii="Courier New" w:hAnsi="Courier New"/>
        </w:rPr>
      </w:pPr>
      <w:r>
        <w:rPr>
          <w:rStyle w:val="C3"/>
          <w:rFonts w:ascii="Courier New" w:hAnsi="Courier New"/>
        </w:rPr>
        <w:t>18) La locación o el arrendamiento de inmuebles destinados al apoyo y fomento de las actividades de entidades de bien público.</w:t>
      </w:r>
    </w:p>
    <w:p>
      <w:pPr>
        <w:ind w:left="709"/>
        <w:jc w:val="both"/>
        <w:rPr>
          <w:rStyle w:val="C3"/>
          <w:rFonts w:ascii="Courier New" w:hAnsi="Courier New"/>
        </w:rPr>
      </w:pPr>
      <w:r>
        <w:rPr>
          <w:rStyle w:val="C3"/>
          <w:rFonts w:ascii="Courier New" w:hAnsi="Courier New"/>
        </w:rPr>
        <w:t>19) La adquisición de elementos e insumos cuya tecnología de base sea de propiedad del contratista.</w:t>
      </w:r>
    </w:p>
    <w:p>
      <w:pPr>
        <w:ind w:left="709"/>
        <w:jc w:val="both"/>
        <w:rPr>
          <w:rStyle w:val="C3"/>
          <w:rFonts w:ascii="Courier New" w:hAnsi="Courier New"/>
        </w:rPr>
      </w:pPr>
      <w:r>
        <w:rPr>
          <w:rStyle w:val="C3"/>
          <w:rFonts w:ascii="Courier New" w:hAnsi="Courier New"/>
        </w:rPr>
        <w:t>20) Las compras y locaciones que sean menester efectuar en países extranjeros, siempre que no sea posible realizar en ellos la licitación.</w:t>
      </w:r>
    </w:p>
    <w:p>
      <w:pPr>
        <w:ind w:left="709"/>
        <w:jc w:val="both"/>
        <w:rPr>
          <w:rStyle w:val="C3"/>
          <w:rFonts w:ascii="Courier New" w:hAnsi="Courier New"/>
        </w:rPr>
      </w:pPr>
      <w:r>
        <w:rPr>
          <w:rStyle w:val="C3"/>
          <w:rFonts w:ascii="Courier New" w:hAnsi="Courier New"/>
        </w:rPr>
        <w:t>21) La venta de bienes consumibles o de elementos en condición de rezagos, siempre que su valor no supere el fijado por Ordenanza como monto máximo para la contratación directa.</w:t>
      </w:r>
    </w:p>
    <w:p>
      <w:pPr>
        <w:ind w:left="709"/>
        <w:jc w:val="both"/>
        <w:rPr>
          <w:rStyle w:val="C3"/>
          <w:rFonts w:ascii="Courier New" w:hAnsi="Courier New"/>
        </w:rPr>
      </w:pPr>
      <w:r>
        <w:rPr>
          <w:rStyle w:val="C3"/>
          <w:rFonts w:ascii="Courier New" w:hAnsi="Courier New"/>
        </w:rPr>
        <w:t>22) La venta de bienes de rezagos a instituciones de bien público.</w:t>
      </w:r>
    </w:p>
    <w:p>
      <w:pPr>
        <w:ind w:left="709"/>
        <w:jc w:val="both"/>
        <w:rPr>
          <w:rStyle w:val="C3"/>
          <w:rFonts w:ascii="Courier New" w:hAnsi="Courier New"/>
        </w:rPr>
      </w:pPr>
      <w:r>
        <w:rPr>
          <w:rStyle w:val="C3"/>
          <w:rFonts w:ascii="Courier New" w:hAnsi="Courier New"/>
        </w:rPr>
        <w:t>23) La venta de publicaciones que edite la administración municipal.</w:t>
      </w:r>
    </w:p>
    <w:p>
      <w:pPr>
        <w:ind w:left="709"/>
        <w:jc w:val="both"/>
        <w:rPr>
          <w:rStyle w:val="C3"/>
          <w:rFonts w:ascii="Courier New" w:hAnsi="Courier New"/>
        </w:rPr>
      </w:pPr>
      <w:r>
        <w:rPr>
          <w:rStyle w:val="C3"/>
          <w:rFonts w:ascii="Courier New" w:hAnsi="Courier New"/>
        </w:rPr>
        <w:t xml:space="preserve">24) Cuando se trate de servicios de carácter permanente (prestados por empresas                                 públicas o privadas), cuyo costo se determina por mediciones periódicas de consumo, no pudiéndose calcular a priori.</w:t>
      </w:r>
    </w:p>
    <w:p>
      <w:pPr>
        <w:ind w:left="709"/>
        <w:jc w:val="both"/>
        <w:rPr>
          <w:rStyle w:val="C3"/>
          <w:rFonts w:ascii="Courier New" w:hAnsi="Courier New"/>
        </w:rPr>
      </w:pPr>
      <w:r>
        <w:rPr>
          <w:rStyle w:val="C3"/>
          <w:rFonts w:ascii="Courier New" w:hAnsi="Courier New"/>
        </w:rPr>
        <w:t>25) La adquisición de combustibles para la movilidad de la flota de vehículos municipales, o afectados al servicio municipal, no pudiendo superar en cada operación la necesidad de consumo de UN (1) mes.</w:t>
      </w:r>
    </w:p>
    <w:p>
      <w:pPr>
        <w:ind w:left="709"/>
        <w:jc w:val="both"/>
        <w:rPr>
          <w:rStyle w:val="C3"/>
          <w:rFonts w:ascii="Courier New" w:hAnsi="Courier New"/>
        </w:rPr>
      </w:pPr>
      <w:r>
        <w:rPr>
          <w:rStyle w:val="C3"/>
          <w:rFonts w:ascii="Courier New" w:hAnsi="Courier New"/>
        </w:rPr>
        <w:t xml:space="preserve">26) Cuando se trate de Concesión de Obras o Servicios Públicos  a  Cooperativas  o  Entidades  sin  fines de </w:t>
      </w: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...///19.-</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lucro, con comprobada y reconocida experiencia de prestación en el servicio u obra a ejecutar.</w:t>
      </w:r>
    </w:p>
    <w:p>
      <w:pPr>
        <w:ind w:left="709"/>
        <w:jc w:val="both"/>
        <w:rPr>
          <w:rStyle w:val="C3"/>
          <w:rFonts w:ascii="Courier New" w:hAnsi="Courier New"/>
        </w:rPr>
      </w:pPr>
      <w:r>
        <w:rPr>
          <w:rStyle w:val="C3"/>
          <w:rFonts w:ascii="Courier New" w:hAnsi="Courier New"/>
        </w:rPr>
        <w:t>27) Se podrán adquirir bienes por el sistema de "leasing" o similares siempre que la cuota mensual por la operación (aún cuando abarque más de un ejercicio) no supere el límite que la Ordenanza de Presupuesto (vigente a la fecha de contratación) fija para el Concurso Privado de Precios.-</w:t>
      </w:r>
    </w:p>
    <w:p>
      <w:pPr>
        <w:ind w:hanging="1021" w:left="1021"/>
        <w:jc w:val="both"/>
        <w:rPr>
          <w:rStyle w:val="C3"/>
          <w:rFonts w:ascii="Courier New" w:hAnsi="Courier New"/>
        </w:rPr>
      </w:pPr>
    </w:p>
    <w:p>
      <w:pPr>
        <w:ind w:hanging="1021" w:left="1021"/>
        <w:jc w:val="both"/>
        <w:rPr>
          <w:rStyle w:val="C3"/>
          <w:rFonts w:ascii="Courier New" w:hAnsi="Courier New"/>
        </w:rPr>
      </w:pPr>
    </w:p>
    <w:p>
      <w:pPr>
        <w:pStyle w:val="P9"/>
        <w:rPr>
          <w:rStyle w:val="C3"/>
          <w:rFonts w:ascii="Courier New" w:hAnsi="Courier New"/>
          <w:b w:val="1"/>
          <w:sz w:val="24"/>
        </w:rPr>
      </w:pPr>
      <w:r>
        <w:rPr>
          <w:rStyle w:val="C3"/>
          <w:rFonts w:ascii="Courier New" w:hAnsi="Courier New"/>
          <w:b w:val="1"/>
          <w:sz w:val="24"/>
        </w:rPr>
        <w:t>RESPONSABILIDAD</w:t>
      </w:r>
    </w:p>
    <w:p>
      <w:pPr>
        <w:ind w:hanging="1021" w:left="102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Art.36</w:t>
      </w:r>
      <w:r>
        <w:rPr>
          <w:rStyle w:val="C3"/>
          <w:rFonts w:ascii="Courier New" w:hAnsi="Courier New"/>
          <w:b w:val="1"/>
        </w:rPr>
        <w:t>: TODO</w:t>
      </w:r>
      <w:r>
        <w:rPr>
          <w:rStyle w:val="C3"/>
          <w:rFonts w:ascii="Courier New" w:hAnsi="Courier New"/>
        </w:rPr>
        <w:t xml:space="preserve"> trámite por el cual se promueva la contratación a que hace referencia la presente Ordenanza, deberá formalizarse mediante expediente en donde, con la firma del Sr. Intendente y Secretario correspondiente, se dejará constancia del cumplimiento de cada uno de los requisitos legales exigidos, salvo el trámite correspondiente a adquisición de bienes y/o contratos que no superen el monto de contratación directa, que sin omitir el trámite de autorizaciones e intervenciones del Tribunal de Cuentas, se cumplimenten sin expediente.-</w:t>
      </w:r>
    </w:p>
    <w:p>
      <w:pPr>
        <w:ind w:hanging="1021" w:left="102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Art.37</w:t>
      </w:r>
      <w:r>
        <w:rPr>
          <w:rStyle w:val="C3"/>
          <w:rFonts w:ascii="Courier New" w:hAnsi="Courier New"/>
          <w:b w:val="1"/>
        </w:rPr>
        <w:t>: LOS</w:t>
      </w:r>
      <w:r>
        <w:rPr>
          <w:rStyle w:val="C3"/>
          <w:rFonts w:ascii="Courier New" w:hAnsi="Courier New"/>
        </w:rPr>
        <w:t xml:space="preserve"> funcionarios que realicen contrataciones en contravención con lo dispuesto en esta Ordenanza, responderán personal y solidariamente del total de lo contratado o gastado en esas condiciones y de los eventuales daños que pudieran haber causado al Estado Municipal y sin perjuicio de las acciones civiles y/o penales que les pudieran corresponder.-</w:t>
      </w:r>
    </w:p>
    <w:p>
      <w:pPr>
        <w:ind w:hanging="1021" w:left="1021"/>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Art.38</w:t>
      </w:r>
      <w:r>
        <w:rPr>
          <w:rStyle w:val="C3"/>
          <w:rFonts w:ascii="Courier New" w:hAnsi="Courier New"/>
          <w:b w:val="1"/>
        </w:rPr>
        <w:t>: DISPÓNESE</w:t>
      </w:r>
      <w:r>
        <w:rPr>
          <w:rStyle w:val="C3"/>
          <w:rFonts w:ascii="Courier New" w:hAnsi="Courier New"/>
        </w:rPr>
        <w:t xml:space="preserve"> que las concesiones de servicios públicos y las de usos de los bienes del dominio público municipal, se otorgarán con ajuste a las previsiones contenidas en las Ordenanzas que las autoricen.-</w:t>
      </w:r>
    </w:p>
    <w:p>
      <w:pPr>
        <w:ind w:hanging="1021" w:left="1021"/>
        <w:jc w:val="both"/>
        <w:rPr>
          <w:rStyle w:val="C3"/>
          <w:rFonts w:ascii="Courier New" w:hAnsi="Courier New"/>
        </w:rPr>
      </w:pPr>
    </w:p>
    <w:p>
      <w:pPr>
        <w:ind w:hanging="1021" w:left="1021"/>
        <w:jc w:val="right"/>
        <w:rPr>
          <w:rStyle w:val="C3"/>
          <w:rFonts w:ascii="Courier New" w:hAnsi="Courier New"/>
        </w:rPr>
      </w:pPr>
      <w:r>
        <w:rPr>
          <w:rStyle w:val="C3"/>
          <w:rFonts w:ascii="Courier New" w:hAnsi="Courier New"/>
        </w:rPr>
        <w:t>...///</w:t>
      </w:r>
    </w:p>
    <w:p>
      <w:pPr>
        <w:ind w:hanging="1021" w:left="102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pStyle w:val="P16"/>
        <w:rPr>
          <w:rStyle w:val="C3"/>
          <w:rFonts w:ascii="Courier New" w:hAnsi="Courier New"/>
          <w:b w:val="1"/>
          <w:sz w:val="24"/>
        </w:rPr>
      </w:pPr>
      <w:r>
        <w:rPr>
          <w:rStyle w:val="C3"/>
          <w:rFonts w:ascii="Courier New" w:hAnsi="Courier New"/>
          <w:b w:val="0"/>
          <w:sz w:val="24"/>
        </w:rPr>
        <w:t>...///20.-</w:t>
      </w:r>
    </w:p>
    <w:p>
      <w:pPr>
        <w:pStyle w:val="P7"/>
        <w:rPr>
          <w:rStyle w:val="C3"/>
          <w:sz w:val="24"/>
        </w:rPr>
      </w:pPr>
    </w:p>
    <w:p>
      <w:pPr>
        <w:pStyle w:val="P7"/>
        <w:rPr>
          <w:rStyle w:val="C3"/>
          <w:sz w:val="24"/>
        </w:rPr>
      </w:pPr>
      <w:r>
        <w:rPr>
          <w:rStyle w:val="C3"/>
          <w:sz w:val="24"/>
        </w:rPr>
        <w:t>RECURSOS: RECAUDADORES Y PERCEPTORES</w:t>
      </w:r>
    </w:p>
    <w:p>
      <w:pPr>
        <w:rPr>
          <w:rStyle w:val="C3"/>
        </w:rPr>
      </w:pPr>
    </w:p>
    <w:p>
      <w:pPr>
        <w:ind w:hanging="374" w:left="374"/>
        <w:jc w:val="both"/>
        <w:rPr>
          <w:rStyle w:val="C3"/>
          <w:rFonts w:ascii="Courier New" w:hAnsi="Courier New"/>
        </w:rPr>
      </w:pPr>
      <w:r>
        <w:rPr>
          <w:rStyle w:val="C3"/>
          <w:rFonts w:ascii="Courier New" w:hAnsi="Courier New"/>
          <w:b w:val="1"/>
          <w:u w:val="single"/>
        </w:rPr>
        <w:t>Art.39</w:t>
      </w:r>
      <w:r>
        <w:rPr>
          <w:rStyle w:val="C3"/>
          <w:rFonts w:ascii="Courier New" w:hAnsi="Courier New"/>
          <w:b w:val="1"/>
        </w:rPr>
        <w:t>: LA</w:t>
      </w:r>
      <w:r>
        <w:rPr>
          <w:rStyle w:val="C3"/>
          <w:rFonts w:ascii="Courier New" w:hAnsi="Courier New"/>
        </w:rPr>
        <w:t xml:space="preserve"> recaudación, el control y verificación de los recursos estará a cargo de la Tesorería Central Municipal. Su percepción se realizará por medio de la Caja Municipal, del Sistema Financiero y de otras Instituciones autorizadas por el Departamento Ejecutivo.</w:t>
      </w:r>
    </w:p>
    <w:p>
      <w:pPr>
        <w:ind w:hanging="1021" w:left="1021"/>
        <w:jc w:val="both"/>
        <w:rPr>
          <w:rStyle w:val="C3"/>
          <w:rFonts w:ascii="Courier New" w:hAnsi="Courier New"/>
        </w:rPr>
      </w:pPr>
    </w:p>
    <w:p>
      <w:pPr>
        <w:pStyle w:val="P7"/>
        <w:rPr>
          <w:rStyle w:val="C3"/>
          <w:sz w:val="24"/>
        </w:rPr>
      </w:pPr>
    </w:p>
    <w:p>
      <w:pPr>
        <w:pStyle w:val="P7"/>
        <w:rPr>
          <w:rStyle w:val="C3"/>
          <w:sz w:val="24"/>
        </w:rPr>
      </w:pPr>
      <w:r>
        <w:rPr>
          <w:rStyle w:val="C3"/>
          <w:sz w:val="24"/>
        </w:rPr>
        <w:t>FONDOS FIJOS</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Art.40</w:t>
      </w:r>
      <w:r>
        <w:rPr>
          <w:rStyle w:val="C3"/>
          <w:rFonts w:ascii="Courier New" w:hAnsi="Courier New"/>
          <w:b w:val="1"/>
        </w:rPr>
        <w:t>: EL</w:t>
      </w:r>
      <w:r>
        <w:rPr>
          <w:rStyle w:val="C3"/>
          <w:rFonts w:ascii="Courier New" w:hAnsi="Courier New"/>
        </w:rPr>
        <w:t xml:space="preserve"> Departamento Ejecutivo podrá autorizar la creación de Fondos Fijos o Cajas Chicas, de conformidad al régimen establecido por la Ordenanza Nº 2780 Art.6º, y sus modificatorias, para su utilización en la atención de pagos cuya característica, modalidad o urgencia no permite aguardar la respectiva visación previa de compromiso de gastos,  o para los gastos de menor cuantía que deban abonarse al contado para solucionar problemas momentáneos del servicio o adquirir elementos de escaso valor cuya necesidad se presenta imprevistamente. El monto total correspondiente a los Fondos Fijos que se creen, no podrá superar en conjunto la suma de PESOS DIEZ MIL ( $ 10.000,oo).</w:t>
      </w:r>
    </w:p>
    <w:p>
      <w:pPr>
        <w:ind w:hanging="374" w:left="374"/>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Art.41</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VEINTICINCO DÍAS DEL MES DE NOVIEMBRE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6"/>
        <w:ind w:left="113"/>
        <w:jc w:val="center"/>
        <w:rPr>
          <w:rStyle w:val="C3"/>
        </w:rPr>
      </w:pPr>
    </w:p>
    <w:p>
      <w:pPr>
        <w:pStyle w:val="P16"/>
        <w:ind w:left="113"/>
        <w:rPr>
          <w:rStyle w:val="C3"/>
          <w:rFonts w:ascii="Courier New" w:hAnsi="Courier New"/>
          <w:b w:val="1"/>
          <w:sz w:val="24"/>
        </w:rPr>
      </w:pPr>
      <w:r>
        <w:rPr>
          <w:rStyle w:val="C3"/>
          <w:rFonts w:ascii="Courier New" w:hAnsi="Courier New"/>
          <w:b w:val="0"/>
          <w:sz w:val="24"/>
        </w:rPr>
        <w:t>...///21.-</w:t>
      </w:r>
    </w:p>
    <w:p>
      <w:pPr>
        <w:pStyle w:val="P16"/>
        <w:ind w:left="113"/>
        <w:rPr>
          <w:rStyle w:val="C3"/>
          <w:rFonts w:ascii="Courier New" w:hAnsi="Courier New"/>
          <w:b w:val="1"/>
          <w:sz w:val="24"/>
        </w:rPr>
      </w:pPr>
    </w:p>
    <w:p>
      <w:pPr>
        <w:pStyle w:val="P16"/>
        <w:ind w:left="113"/>
        <w:rPr>
          <w:rStyle w:val="C3"/>
          <w:rFonts w:ascii="Courier New" w:hAnsi="Courier New"/>
          <w:b w:val="1"/>
          <w:sz w:val="24"/>
        </w:rPr>
      </w:pPr>
    </w:p>
    <w:p>
      <w:pPr>
        <w:pStyle w:val="P16"/>
        <w:ind w:left="113"/>
        <w:rPr>
          <w:rStyle w:val="C3"/>
          <w:rFonts w:ascii="Courier New" w:hAnsi="Courier New"/>
          <w:b w:val="1"/>
          <w:sz w:val="24"/>
        </w:rPr>
      </w:pPr>
    </w:p>
    <w:p>
      <w:pPr>
        <w:pStyle w:val="P16"/>
        <w:ind w:left="113"/>
        <w:rPr>
          <w:rStyle w:val="C3"/>
          <w:rFonts w:ascii="Courier New" w:hAnsi="Courier New"/>
          <w:b w:val="1"/>
          <w:sz w:val="24"/>
        </w:rPr>
      </w:pPr>
    </w:p>
    <w:p>
      <w:pPr>
        <w:pStyle w:val="P16"/>
        <w:ind w:left="113"/>
        <w:jc w:val="center"/>
        <w:rPr>
          <w:rStyle w:val="C3"/>
          <w:rFonts w:ascii="Courier New" w:hAnsi="Courier New"/>
          <w:sz w:val="144"/>
        </w:rPr>
      </w:pPr>
    </w:p>
    <w:p>
      <w:pPr>
        <w:pStyle w:val="P16"/>
        <w:ind w:left="113"/>
        <w:jc w:val="center"/>
        <w:rPr>
          <w:rStyle w:val="C3"/>
          <w:rFonts w:ascii="Courier New" w:hAnsi="Courier New"/>
          <w:sz w:val="144"/>
        </w:rPr>
      </w:pPr>
    </w:p>
    <w:p>
      <w:pPr>
        <w:pStyle w:val="P16"/>
        <w:ind w:left="113"/>
        <w:jc w:val="center"/>
        <w:rPr>
          <w:rStyle w:val="C3"/>
          <w:rFonts w:ascii="Courier New" w:hAnsi="Courier New"/>
          <w:sz w:val="144"/>
        </w:rPr>
      </w:pPr>
      <w:r>
        <w:rPr>
          <w:rStyle w:val="C3"/>
          <w:rFonts w:ascii="Courier New" w:hAnsi="Courier New"/>
          <w:sz w:val="144"/>
        </w:rPr>
        <w:t>ANEXO I</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1F24D6C"/>
    <w:multiLevelType w:val="multilevel"/>
    <w:lvl w:ilvl="0">
      <w:start w:val="1"/>
      <w:numFmt w:val="lowerLetter"/>
      <w:suff w:val="tab"/>
      <w:lvlText w:val="%1)"/>
      <w:lvlJc w:val="left"/>
      <w:pPr>
        <w:ind w:hanging="600" w:left="974"/>
        <w:tabs>
          <w:tab w:val="left" w:pos="97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8">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3">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3515353F"/>
    <w:multiLevelType w:val="hybridMultilevel"/>
    <w:lvl w:ilvl="0" w:tplc="0116136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3A2B4EAC"/>
    <w:multiLevelType w:val="hybridMultilevel"/>
    <w:lvl w:ilvl="0" w:tplc="6094DE07">
      <w:start w:val="1"/>
      <w:numFmt w:val="bullet"/>
      <w:suff w:val="tab"/>
      <w:lvlText w:val=""/>
      <w:lvlJc w:val="left"/>
      <w:pPr>
        <w:ind w:hanging="360" w:left="1211"/>
        <w:tabs>
          <w:tab w:val="left" w:pos="1211" w:leader="none"/>
        </w:tabs>
      </w:pPr>
      <w:rPr>
        <w:rFonts w:ascii="Symbol" w:hAnsi="Symbol"/>
      </w:rPr>
    </w:lvl>
    <w:lvl w:ilvl="1" w:tplc="38BA23C0">
      <w:start w:val="1"/>
      <w:numFmt w:val="bullet"/>
      <w:suff w:val="tab"/>
      <w:lvlText w:val="o"/>
      <w:lvlJc w:val="left"/>
      <w:pPr>
        <w:ind w:hanging="360" w:left="1931"/>
        <w:tabs>
          <w:tab w:val="left" w:pos="1931" w:leader="none"/>
        </w:tabs>
      </w:pPr>
      <w:rPr>
        <w:rFonts w:ascii="Courier New" w:hAnsi="Courier New"/>
      </w:rPr>
    </w:lvl>
    <w:lvl w:ilvl="2" w:tplc="3C01F670">
      <w:start w:val="1"/>
      <w:numFmt w:val="bullet"/>
      <w:suff w:val="tab"/>
      <w:lvlText w:val=""/>
      <w:lvlJc w:val="left"/>
      <w:pPr>
        <w:ind w:hanging="360" w:left="2651"/>
        <w:tabs>
          <w:tab w:val="left" w:pos="2651" w:leader="none"/>
        </w:tabs>
      </w:pPr>
      <w:rPr>
        <w:rFonts w:ascii="Wingdings" w:hAnsi="Wingdings"/>
      </w:rPr>
    </w:lvl>
    <w:lvl w:ilvl="3" w:tplc="54126CB4">
      <w:start w:val="1"/>
      <w:numFmt w:val="bullet"/>
      <w:suff w:val="tab"/>
      <w:lvlText w:val=""/>
      <w:lvlJc w:val="left"/>
      <w:pPr>
        <w:ind w:hanging="360" w:left="3371"/>
        <w:tabs>
          <w:tab w:val="left" w:pos="3371" w:leader="none"/>
        </w:tabs>
      </w:pPr>
      <w:rPr>
        <w:rFonts w:ascii="Symbol" w:hAnsi="Symbol"/>
      </w:rPr>
    </w:lvl>
    <w:lvl w:ilvl="4" w:tplc="4217816B">
      <w:start w:val="1"/>
      <w:numFmt w:val="bullet"/>
      <w:suff w:val="tab"/>
      <w:lvlText w:val="o"/>
      <w:lvlJc w:val="left"/>
      <w:pPr>
        <w:ind w:hanging="360" w:left="4091"/>
        <w:tabs>
          <w:tab w:val="left" w:pos="4091" w:leader="none"/>
        </w:tabs>
      </w:pPr>
      <w:rPr>
        <w:rFonts w:ascii="Courier New" w:hAnsi="Courier New"/>
      </w:rPr>
    </w:lvl>
    <w:lvl w:ilvl="5" w:tplc="0F272A5B">
      <w:start w:val="1"/>
      <w:numFmt w:val="bullet"/>
      <w:suff w:val="tab"/>
      <w:lvlText w:val=""/>
      <w:lvlJc w:val="left"/>
      <w:pPr>
        <w:ind w:hanging="360" w:left="4811"/>
        <w:tabs>
          <w:tab w:val="left" w:pos="4811" w:leader="none"/>
        </w:tabs>
      </w:pPr>
      <w:rPr>
        <w:rFonts w:ascii="Wingdings" w:hAnsi="Wingdings"/>
      </w:rPr>
    </w:lvl>
    <w:lvl w:ilvl="6" w:tplc="3F19186E">
      <w:start w:val="1"/>
      <w:numFmt w:val="bullet"/>
      <w:suff w:val="tab"/>
      <w:lvlText w:val=""/>
      <w:lvlJc w:val="left"/>
      <w:pPr>
        <w:ind w:hanging="360" w:left="5531"/>
        <w:tabs>
          <w:tab w:val="left" w:pos="5531" w:leader="none"/>
        </w:tabs>
      </w:pPr>
      <w:rPr>
        <w:rFonts w:ascii="Symbol" w:hAnsi="Symbol"/>
      </w:rPr>
    </w:lvl>
    <w:lvl w:ilvl="7" w:tplc="6BCF3314">
      <w:start w:val="1"/>
      <w:numFmt w:val="bullet"/>
      <w:suff w:val="tab"/>
      <w:lvlText w:val="o"/>
      <w:lvlJc w:val="left"/>
      <w:pPr>
        <w:ind w:hanging="360" w:left="6251"/>
        <w:tabs>
          <w:tab w:val="left" w:pos="6251" w:leader="none"/>
        </w:tabs>
      </w:pPr>
      <w:rPr>
        <w:rFonts w:ascii="Courier New" w:hAnsi="Courier New"/>
      </w:rPr>
    </w:lvl>
    <w:lvl w:ilvl="8" w:tplc="10B48B3C">
      <w:start w:val="1"/>
      <w:numFmt w:val="bullet"/>
      <w:suff w:val="tab"/>
      <w:lvlText w:val=""/>
      <w:lvlJc w:val="left"/>
      <w:pPr>
        <w:ind w:hanging="360" w:left="6971"/>
        <w:tabs>
          <w:tab w:val="left" w:pos="6971" w:leader="none"/>
        </w:tabs>
      </w:pPr>
      <w:rPr>
        <w:rFonts w:ascii="Wingdings" w:hAnsi="Wingdings"/>
      </w:rPr>
    </w:lvl>
  </w:abstractNum>
  <w:abstractNum w:abstractNumId="18">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9">
    <w:nsid w:val="4085728C"/>
    <w:multiLevelType w:val="multilevel"/>
    <w:lvl w:ilvl="0">
      <w:start w:val="1"/>
      <w:numFmt w:val="decimal"/>
      <w:suff w:val="tab"/>
      <w:lvlText w:val="%1)"/>
      <w:lvlJc w:val="left"/>
      <w:pPr>
        <w:ind w:hanging="360" w:left="1440"/>
        <w:tabs>
          <w:tab w:val="left" w:pos="1440" w:leader="none"/>
        </w:tabs>
      </w:pPr>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416D2874"/>
    <w:multiLevelType w:val="multilevel"/>
    <w:lvl w:ilvl="0">
      <w:start w:val="1"/>
      <w:numFmt w:val="lowerLetter"/>
      <w:suff w:val="tab"/>
      <w:lvlText w:val="%1)"/>
      <w:lvlJc w:val="left"/>
      <w:pPr>
        <w:ind w:hanging="510" w:left="884"/>
        <w:tabs>
          <w:tab w:val="left" w:pos="88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41A7687E"/>
    <w:multiLevelType w:val="multilevel"/>
    <w:lvl w:ilvl="0">
      <w:start w:val="1"/>
      <w:numFmt w:val="decimal"/>
      <w:suff w:val="tab"/>
      <w:lvlText w:val="%1)"/>
      <w:lvlJc w:val="left"/>
      <w:pPr>
        <w:ind w:hanging="435" w:left="1140"/>
        <w:tabs>
          <w:tab w:val="left" w:pos="114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6">
    <w:nsid w:val="4C661CEC"/>
    <w:multiLevelType w:val="hybridMultilevel"/>
    <w:lvl w:ilvl="0" w:tplc="5CEC1459">
      <w:start w:val="2"/>
      <w:numFmt w:val="bullet"/>
      <w:suff w:val="tab"/>
      <w:lvlText w:val="-"/>
      <w:lvlJc w:val="left"/>
      <w:pPr>
        <w:ind w:hanging="360" w:left="1080"/>
        <w:tabs>
          <w:tab w:val="left" w:pos="1080" w:leader="none"/>
        </w:tabs>
      </w:pPr>
      <w:rPr>
        <w:rFonts w:ascii="Courier New" w:hAnsi="Courier New"/>
      </w:rPr>
    </w:lvl>
    <w:lvl w:ilvl="1" w:tplc="793FC9DF">
      <w:start w:val="1"/>
      <w:numFmt w:val="bullet"/>
      <w:suff w:val="tab"/>
      <w:lvlText w:val="o"/>
      <w:lvlJc w:val="left"/>
      <w:pPr>
        <w:ind w:hanging="360" w:left="1800"/>
        <w:tabs>
          <w:tab w:val="left" w:pos="1800" w:leader="none"/>
        </w:tabs>
      </w:pPr>
      <w:rPr>
        <w:rFonts w:ascii="Courier New" w:hAnsi="Courier New"/>
      </w:rPr>
    </w:lvl>
    <w:lvl w:ilvl="2" w:tplc="7416862E">
      <w:start w:val="1"/>
      <w:numFmt w:val="bullet"/>
      <w:suff w:val="tab"/>
      <w:lvlText w:val=""/>
      <w:lvlJc w:val="left"/>
      <w:pPr>
        <w:ind w:hanging="360" w:left="2520"/>
        <w:tabs>
          <w:tab w:val="left" w:pos="2520" w:leader="none"/>
        </w:tabs>
      </w:pPr>
      <w:rPr>
        <w:rFonts w:ascii="Wingdings" w:hAnsi="Wingdings"/>
      </w:rPr>
    </w:lvl>
    <w:lvl w:ilvl="3" w:tplc="3CFB2732">
      <w:start w:val="1"/>
      <w:numFmt w:val="bullet"/>
      <w:suff w:val="tab"/>
      <w:lvlText w:val=""/>
      <w:lvlJc w:val="left"/>
      <w:pPr>
        <w:ind w:hanging="360" w:left="3240"/>
        <w:tabs>
          <w:tab w:val="left" w:pos="3240" w:leader="none"/>
        </w:tabs>
      </w:pPr>
      <w:rPr>
        <w:rFonts w:ascii="Symbol" w:hAnsi="Symbol"/>
      </w:rPr>
    </w:lvl>
    <w:lvl w:ilvl="4" w:tplc="61969650">
      <w:start w:val="1"/>
      <w:numFmt w:val="bullet"/>
      <w:suff w:val="tab"/>
      <w:lvlText w:val="o"/>
      <w:lvlJc w:val="left"/>
      <w:pPr>
        <w:ind w:hanging="360" w:left="3960"/>
        <w:tabs>
          <w:tab w:val="left" w:pos="3960" w:leader="none"/>
        </w:tabs>
      </w:pPr>
      <w:rPr>
        <w:rFonts w:ascii="Courier New" w:hAnsi="Courier New"/>
      </w:rPr>
    </w:lvl>
    <w:lvl w:ilvl="5" w:tplc="2503E6D0">
      <w:start w:val="1"/>
      <w:numFmt w:val="bullet"/>
      <w:suff w:val="tab"/>
      <w:lvlText w:val=""/>
      <w:lvlJc w:val="left"/>
      <w:pPr>
        <w:ind w:hanging="360" w:left="4680"/>
        <w:tabs>
          <w:tab w:val="left" w:pos="4680" w:leader="none"/>
        </w:tabs>
      </w:pPr>
      <w:rPr>
        <w:rFonts w:ascii="Wingdings" w:hAnsi="Wingdings"/>
      </w:rPr>
    </w:lvl>
    <w:lvl w:ilvl="6" w:tplc="5509BA8C">
      <w:start w:val="1"/>
      <w:numFmt w:val="bullet"/>
      <w:suff w:val="tab"/>
      <w:lvlText w:val=""/>
      <w:lvlJc w:val="left"/>
      <w:pPr>
        <w:ind w:hanging="360" w:left="5400"/>
        <w:tabs>
          <w:tab w:val="left" w:pos="5400" w:leader="none"/>
        </w:tabs>
      </w:pPr>
      <w:rPr>
        <w:rFonts w:ascii="Symbol" w:hAnsi="Symbol"/>
      </w:rPr>
    </w:lvl>
    <w:lvl w:ilvl="7" w:tplc="2429605B">
      <w:start w:val="1"/>
      <w:numFmt w:val="bullet"/>
      <w:suff w:val="tab"/>
      <w:lvlText w:val="o"/>
      <w:lvlJc w:val="left"/>
      <w:pPr>
        <w:ind w:hanging="360" w:left="6120"/>
        <w:tabs>
          <w:tab w:val="left" w:pos="6120" w:leader="none"/>
        </w:tabs>
      </w:pPr>
      <w:rPr>
        <w:rFonts w:ascii="Courier New" w:hAnsi="Courier New"/>
      </w:rPr>
    </w:lvl>
    <w:lvl w:ilvl="8" w:tplc="1B5DBB07">
      <w:start w:val="1"/>
      <w:numFmt w:val="bullet"/>
      <w:suff w:val="tab"/>
      <w:lvlText w:val=""/>
      <w:lvlJc w:val="left"/>
      <w:pPr>
        <w:ind w:hanging="360" w:left="6840"/>
        <w:tabs>
          <w:tab w:val="left" w:pos="6840" w:leader="none"/>
        </w:tabs>
      </w:pPr>
      <w:rPr>
        <w:rFonts w:ascii="Wingdings" w:hAnsi="Wingdings"/>
      </w:rPr>
    </w:lvl>
  </w:abstractNum>
  <w:abstractNum w:abstractNumId="27">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2">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5B49598D"/>
    <w:multiLevelType w:val="hybridMultilevel"/>
    <w:lvl w:ilvl="0" w:tplc="4B2FCAA0">
      <w:start w:val="1"/>
      <w:numFmt w:val="bullet"/>
      <w:suff w:val="tab"/>
      <w:lvlText w:val="-"/>
      <w:lvlJc w:val="left"/>
      <w:pPr>
        <w:ind w:hanging="360" w:left="1080"/>
        <w:tabs>
          <w:tab w:val="left" w:pos="1080" w:leader="none"/>
        </w:tabs>
      </w:pPr>
      <w:rPr>
        <w:rFonts w:ascii="Courier New" w:hAnsi="Courier New"/>
      </w:rPr>
    </w:lvl>
    <w:lvl w:ilvl="1" w:tplc="0C8CD93E">
      <w:start w:val="1"/>
      <w:numFmt w:val="bullet"/>
      <w:suff w:val="tab"/>
      <w:lvlText w:val="o"/>
      <w:lvlJc w:val="left"/>
      <w:pPr>
        <w:ind w:hanging="360" w:left="1800"/>
        <w:tabs>
          <w:tab w:val="left" w:pos="1800" w:leader="none"/>
        </w:tabs>
      </w:pPr>
      <w:rPr>
        <w:rFonts w:ascii="Courier New" w:hAnsi="Courier New"/>
      </w:rPr>
    </w:lvl>
    <w:lvl w:ilvl="2" w:tplc="25AE9BF6">
      <w:start w:val="1"/>
      <w:numFmt w:val="bullet"/>
      <w:suff w:val="tab"/>
      <w:lvlText w:val=""/>
      <w:lvlJc w:val="left"/>
      <w:pPr>
        <w:ind w:hanging="360" w:left="2520"/>
        <w:tabs>
          <w:tab w:val="left" w:pos="2520" w:leader="none"/>
        </w:tabs>
      </w:pPr>
      <w:rPr>
        <w:rFonts w:ascii="Wingdings" w:hAnsi="Wingdings"/>
      </w:rPr>
    </w:lvl>
    <w:lvl w:ilvl="3" w:tplc="0C0748D5">
      <w:start w:val="1"/>
      <w:numFmt w:val="bullet"/>
      <w:suff w:val="tab"/>
      <w:lvlText w:val=""/>
      <w:lvlJc w:val="left"/>
      <w:pPr>
        <w:ind w:hanging="360" w:left="3240"/>
        <w:tabs>
          <w:tab w:val="left" w:pos="3240" w:leader="none"/>
        </w:tabs>
      </w:pPr>
      <w:rPr>
        <w:rFonts w:ascii="Symbol" w:hAnsi="Symbol"/>
      </w:rPr>
    </w:lvl>
    <w:lvl w:ilvl="4" w:tplc="691BA6EB">
      <w:start w:val="1"/>
      <w:numFmt w:val="bullet"/>
      <w:suff w:val="tab"/>
      <w:lvlText w:val="o"/>
      <w:lvlJc w:val="left"/>
      <w:pPr>
        <w:ind w:hanging="360" w:left="3960"/>
        <w:tabs>
          <w:tab w:val="left" w:pos="3960" w:leader="none"/>
        </w:tabs>
      </w:pPr>
      <w:rPr>
        <w:rFonts w:ascii="Courier New" w:hAnsi="Courier New"/>
      </w:rPr>
    </w:lvl>
    <w:lvl w:ilvl="5" w:tplc="726151F6">
      <w:start w:val="1"/>
      <w:numFmt w:val="bullet"/>
      <w:suff w:val="tab"/>
      <w:lvlText w:val=""/>
      <w:lvlJc w:val="left"/>
      <w:pPr>
        <w:ind w:hanging="360" w:left="4680"/>
        <w:tabs>
          <w:tab w:val="left" w:pos="4680" w:leader="none"/>
        </w:tabs>
      </w:pPr>
      <w:rPr>
        <w:rFonts w:ascii="Wingdings" w:hAnsi="Wingdings"/>
      </w:rPr>
    </w:lvl>
    <w:lvl w:ilvl="6" w:tplc="55A84F67">
      <w:start w:val="1"/>
      <w:numFmt w:val="bullet"/>
      <w:suff w:val="tab"/>
      <w:lvlText w:val=""/>
      <w:lvlJc w:val="left"/>
      <w:pPr>
        <w:ind w:hanging="360" w:left="5400"/>
        <w:tabs>
          <w:tab w:val="left" w:pos="5400" w:leader="none"/>
        </w:tabs>
      </w:pPr>
      <w:rPr>
        <w:rFonts w:ascii="Symbol" w:hAnsi="Symbol"/>
      </w:rPr>
    </w:lvl>
    <w:lvl w:ilvl="7" w:tplc="4697057D">
      <w:start w:val="1"/>
      <w:numFmt w:val="bullet"/>
      <w:suff w:val="tab"/>
      <w:lvlText w:val="o"/>
      <w:lvlJc w:val="left"/>
      <w:pPr>
        <w:ind w:hanging="360" w:left="6120"/>
        <w:tabs>
          <w:tab w:val="left" w:pos="6120" w:leader="none"/>
        </w:tabs>
      </w:pPr>
      <w:rPr>
        <w:rFonts w:ascii="Courier New" w:hAnsi="Courier New"/>
      </w:rPr>
    </w:lvl>
    <w:lvl w:ilvl="8" w:tplc="40F47CAD">
      <w:start w:val="1"/>
      <w:numFmt w:val="bullet"/>
      <w:suff w:val="tab"/>
      <w:lvlText w:val=""/>
      <w:lvlJc w:val="left"/>
      <w:pPr>
        <w:ind w:hanging="360" w:left="6840"/>
        <w:tabs>
          <w:tab w:val="left" w:pos="6840" w:leader="none"/>
        </w:tabs>
      </w:pPr>
      <w:rPr>
        <w:rFonts w:ascii="Wingdings" w:hAnsi="Wingdings"/>
      </w:rPr>
    </w:lvl>
  </w:abstractNum>
  <w:abstractNum w:abstractNumId="35">
    <w:nsid w:val="5C1E2E77"/>
    <w:multiLevelType w:val="multilevel"/>
    <w:lvl w:ilvl="0">
      <w:start w:val="1"/>
      <w:numFmt w:val="lowerLetter"/>
      <w:suff w:val="tab"/>
      <w:lvlText w:val="%1)"/>
      <w:lvlJc w:val="left"/>
      <w:pPr>
        <w:ind w:hanging="525" w:left="1086"/>
        <w:tabs>
          <w:tab w:val="left" w:pos="1086"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658562F8"/>
    <w:multiLevelType w:val="multilevel"/>
    <w:lvl w:ilvl="0">
      <w:start w:val="1"/>
      <w:numFmt w:val="decimal"/>
      <w:suff w:val="tab"/>
      <w:lvlText w:val="%1)"/>
      <w:lvlJc w:val="left"/>
      <w:pPr>
        <w:ind w:hanging="555" w:left="929"/>
        <w:tabs>
          <w:tab w:val="left" w:pos="92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66C4424C"/>
    <w:multiLevelType w:val="multilevel"/>
    <w:lvl w:ilvl="0">
      <w:start w:val="1"/>
      <w:numFmt w:val="lowerLetter"/>
      <w:suff w:val="tab"/>
      <w:lvlText w:val="%1)"/>
      <w:lvlJc w:val="left"/>
      <w:pPr>
        <w:ind w:hanging="600" w:left="974"/>
        <w:tabs>
          <w:tab w:val="left" w:pos="97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674C2D60"/>
    <w:multiLevelType w:val="multilevel"/>
    <w:lvl w:ilvl="0">
      <w:start w:val="1"/>
      <w:numFmt w:val="lowerLetter"/>
      <w:suff w:val="tab"/>
      <w:lvlText w:val="%1)"/>
      <w:lvlJc w:val="left"/>
      <w:pPr>
        <w:ind w:hanging="435" w:left="809"/>
        <w:tabs>
          <w:tab w:val="left" w:pos="80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4">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6">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7">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9">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0">
    <w:nsid w:val="777B0B1B"/>
    <w:multiLevelType w:val="hybridMultilevel"/>
    <w:lvl w:ilvl="0" w:tplc="4912322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2">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3">
    <w:nsid w:val="7FBE7AA7"/>
    <w:multiLevelType w:val="multilevel"/>
    <w:lvl w:ilvl="0">
      <w:start w:val="1"/>
      <w:numFmt w:val="lowerLetter"/>
      <w:suff w:val="tab"/>
      <w:lvlText w:val="%1)"/>
      <w:lvlJc w:val="left"/>
      <w:pPr>
        <w:ind w:hanging="495" w:left="869"/>
        <w:tabs>
          <w:tab w:val="left" w:pos="8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1"/>
  </w:num>
  <w:num w:numId="2">
    <w:abstractNumId w:val="36"/>
  </w:num>
  <w:num w:numId="3">
    <w:abstractNumId w:val="6"/>
  </w:num>
  <w:num w:numId="4">
    <w:abstractNumId w:val="11"/>
  </w:num>
  <w:num w:numId="5">
    <w:abstractNumId w:val="43"/>
  </w:num>
  <w:num w:numId="6">
    <w:abstractNumId w:val="48"/>
  </w:num>
  <w:num w:numId="7">
    <w:abstractNumId w:val="29"/>
  </w:num>
  <w:num w:numId="8">
    <w:abstractNumId w:val="26"/>
  </w:num>
  <w:num w:numId="9">
    <w:abstractNumId w:val="38"/>
  </w:num>
  <w:num w:numId="10">
    <w:abstractNumId w:val="49"/>
  </w:num>
  <w:num w:numId="11">
    <w:abstractNumId w:val="1"/>
  </w:num>
  <w:num w:numId="12">
    <w:abstractNumId w:val="25"/>
  </w:num>
  <w:num w:numId="13">
    <w:abstractNumId w:val="24"/>
  </w:num>
  <w:num w:numId="14">
    <w:abstractNumId w:val="28"/>
  </w:num>
  <w:num w:numId="15">
    <w:abstractNumId w:val="37"/>
  </w:num>
  <w:num w:numId="16">
    <w:abstractNumId w:val="15"/>
  </w:num>
  <w:num w:numId="17">
    <w:abstractNumId w:val="50"/>
  </w:num>
  <w:num w:numId="18">
    <w:abstractNumId w:val="13"/>
  </w:num>
  <w:num w:numId="19">
    <w:abstractNumId w:val="3"/>
  </w:num>
  <w:num w:numId="20">
    <w:abstractNumId w:val="39"/>
  </w:num>
  <w:num w:numId="21">
    <w:abstractNumId w:val="5"/>
  </w:num>
  <w:num w:numId="22">
    <w:abstractNumId w:val="8"/>
  </w:num>
  <w:num w:numId="23">
    <w:abstractNumId w:val="9"/>
  </w:num>
  <w:num w:numId="24">
    <w:abstractNumId w:val="33"/>
  </w:num>
  <w:num w:numId="25">
    <w:abstractNumId w:val="47"/>
  </w:num>
  <w:num w:numId="26">
    <w:abstractNumId w:val="32"/>
  </w:num>
  <w:num w:numId="27">
    <w:abstractNumId w:val="4"/>
  </w:num>
  <w:num w:numId="28">
    <w:abstractNumId w:val="30"/>
  </w:num>
  <w:num w:numId="29">
    <w:abstractNumId w:val="10"/>
  </w:num>
  <w:num w:numId="30">
    <w:abstractNumId w:val="44"/>
  </w:num>
  <w:num w:numId="31">
    <w:abstractNumId w:val="27"/>
  </w:num>
  <w:num w:numId="32">
    <w:abstractNumId w:val="23"/>
  </w:num>
  <w:num w:numId="33">
    <w:abstractNumId w:val="34"/>
  </w:num>
  <w:num w:numId="34">
    <w:abstractNumId w:val="31"/>
  </w:num>
  <w:num w:numId="35">
    <w:abstractNumId w:val="7"/>
  </w:num>
  <w:num w:numId="36">
    <w:abstractNumId w:val="45"/>
  </w:num>
  <w:num w:numId="37">
    <w:abstractNumId w:val="14"/>
  </w:num>
  <w:num w:numId="38">
    <w:abstractNumId w:val="16"/>
  </w:num>
  <w:num w:numId="39">
    <w:abstractNumId w:val="2"/>
  </w:num>
  <w:num w:numId="40">
    <w:abstractNumId w:val="46"/>
  </w:num>
  <w:num w:numId="41">
    <w:abstractNumId w:val="52"/>
  </w:num>
  <w:num w:numId="42">
    <w:abstractNumId w:val="51"/>
  </w:num>
  <w:num w:numId="43">
    <w:abstractNumId w:val="18"/>
  </w:num>
  <w:num w:numId="44">
    <w:abstractNumId w:val="12"/>
  </w:num>
  <w:num w:numId="45">
    <w:abstractNumId w:val="20"/>
  </w:num>
  <w:num w:numId="46">
    <w:abstractNumId w:val="53"/>
  </w:num>
  <w:num w:numId="47">
    <w:abstractNumId w:val="41"/>
  </w:num>
  <w:num w:numId="48">
    <w:abstractNumId w:val="0"/>
  </w:num>
  <w:num w:numId="49">
    <w:abstractNumId w:val="17"/>
  </w:num>
  <w:num w:numId="50">
    <w:abstractNumId w:val="19"/>
  </w:num>
  <w:num w:numId="51">
    <w:abstractNumId w:val="40"/>
  </w:num>
  <w:num w:numId="52">
    <w:abstractNumId w:val="42"/>
  </w:num>
  <w:num w:numId="53">
    <w:abstractNumId w:val="35"/>
  </w:num>
  <w:num w:numId="54">
    <w:abstractNumId w:val="2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2009-12-01T12:56:00Z</dcterms:created>
  <cp:lastModifiedBy>Ethan Puglia</cp:lastModifiedBy>
  <cp:lastPrinted>2009-12-12T12:59:00Z</cp:lastPrinted>
  <dcterms:modified xsi:type="dcterms:W3CDTF">2019-03-28T17:34:15Z</dcterms:modified>
  <cp:revision>38</cp:revision>
  <dc:title>PROYECTO DE ORDENANZA VIOLENCIA FAMILIAR</dc:title>
</cp:coreProperties>
</file>