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A86F929" Type="http://schemas.openxmlformats.org/officeDocument/2006/relationships/officeDocument" Target="/word/document.xml" /><Relationship Id="coreRA86F92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vertAlign w:val="superscript"/>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8535</w:t>
      </w:r>
    </w:p>
    <w:p/>
    <w:p/>
    <w:p>
      <w:pPr>
        <w:ind w:hanging="561" w:left="561"/>
        <w:jc w:val="both"/>
        <w:rPr>
          <w:rStyle w:val="C3"/>
          <w:rFonts w:ascii="Courier New" w:hAnsi="Courier New"/>
        </w:rPr>
      </w:pPr>
      <w:r>
        <w:rPr>
          <w:rStyle w:val="C3"/>
          <w:rFonts w:ascii="Courier New" w:hAnsi="Courier New"/>
        </w:rPr>
        <w:t>Visto: El Expediente N° 285/I/09; y</w:t>
      </w:r>
    </w:p>
    <w:p>
      <w:pPr>
        <w:rPr>
          <w:rStyle w:val="C3"/>
        </w:rPr>
      </w:pPr>
    </w:p>
    <w:p>
      <w:pPr>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 xml:space="preserve">Que a través del mismo y mediante nota, las autoridades del Sanatorio Alta Gracia solicitan la condonación de  deuda que la Institución Sanatorial mantiene con la Municipalidad de la Ciudad de Alta Gracia;</w:t>
      </w:r>
    </w:p>
    <w:p>
      <w:pPr>
        <w:ind w:left="561"/>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61"/>
        <w:jc w:val="both"/>
        <w:rPr>
          <w:rStyle w:val="C3"/>
          <w:rFonts w:ascii="Courier New" w:hAnsi="Courier New"/>
        </w:rPr>
      </w:pPr>
      <w:r>
        <w:rPr>
          <w:rStyle w:val="C3"/>
          <w:rFonts w:ascii="Courier New" w:hAnsi="Courier New"/>
        </w:rPr>
        <w:t>Que dicha deuda es en concepto de Tasa por Servicios a la Propiedad correspondiente a la Identificación 00003395 y por Tasa de Comercio e Industria correspondiente a la identificación N°02127;</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61"/>
        <w:jc w:val="both"/>
        <w:rPr>
          <w:rStyle w:val="C3"/>
          <w:rFonts w:ascii="Courier New" w:hAnsi="Courier New"/>
        </w:rPr>
      </w:pPr>
      <w:r>
        <w:rPr>
          <w:rStyle w:val="C3"/>
          <w:rFonts w:ascii="Courier New" w:hAnsi="Courier New"/>
        </w:rPr>
        <w:t xml:space="preserve"> </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61"/>
        <w:jc w:val="both"/>
        <w:rPr>
          <w:rStyle w:val="C3"/>
          <w:rFonts w:ascii="Courier New" w:hAnsi="Courier New"/>
        </w:rPr>
      </w:pPr>
      <w:r>
        <w:rPr>
          <w:rStyle w:val="C3"/>
          <w:rFonts w:ascii="Courier New" w:hAnsi="Courier New"/>
        </w:rPr>
        <w:t xml:space="preserve">Que, manifiestan, es preciso destacar que dicho planteo se fundamenta en la necesidad del Sanatorio de financiamiento respecto, básicamente, de la deuda que mantiene con el personal que trabaja actualmente en la institución, a la que se le debe una suma que se aproxima a tres meses de la capita de haberes en total; </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61"/>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61"/>
        <w:jc w:val="both"/>
        <w:rPr>
          <w:rStyle w:val="C3"/>
          <w:rFonts w:ascii="Courier New" w:hAnsi="Courier New"/>
        </w:rPr>
      </w:pPr>
      <w:r>
        <w:rPr>
          <w:rStyle w:val="C3"/>
          <w:rFonts w:ascii="Courier New" w:hAnsi="Courier New"/>
        </w:rPr>
        <w:t>Que es muy importante citar que la gestión realizada respecto de la planta de empleados ha sido por demás sacrificada, citando como ejemplo para que se considere en el análisis, la regularización de aproximadamente DIEZ (10) empleados, la absorción de empleados de la ex Clínica Central, la bancarización del personal, el pago en tiempo y forma de haberes que esa administración viene realizando, la gestión estratégica y la capacitación de recursos humanos implementada, y lo que es mas importante, se mantuvo la planta con gran esfuerzo sin despedir personal aun en la peor crisis;</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61"/>
        <w:jc w:val="both"/>
        <w:rPr>
          <w:rStyle w:val="C3"/>
          <w:rFonts w:ascii="Courier New" w:hAnsi="Courier New"/>
        </w:rPr>
      </w:pPr>
    </w:p>
    <w:p>
      <w:pPr>
        <w:pStyle w:val="P13"/>
        <w:ind w:firstLine="0" w:left="561"/>
      </w:pPr>
      <w:r>
        <w:t xml:space="preserve">Que destacan la gestión prolija que viene realizando la actual administración de esta entidad, que a diferencia </w:t>
      </w:r>
    </w:p>
    <w:p>
      <w:pPr>
        <w:pStyle w:val="P13"/>
        <w:ind w:firstLine="0" w:left="561"/>
        <w:jc w:val="right"/>
      </w:pPr>
      <w:r>
        <w:t>...///</w:t>
      </w:r>
    </w:p>
    <w:p>
      <w:pPr>
        <w:pStyle w:val="P13"/>
        <w:ind w:firstLine="0" w:left="561"/>
      </w:pPr>
    </w:p>
    <w:p>
      <w:pPr>
        <w:pStyle w:val="P13"/>
        <w:ind w:firstLine="0" w:left="561"/>
      </w:pPr>
    </w:p>
    <w:p>
      <w:pPr>
        <w:pStyle w:val="P13"/>
        <w:ind w:firstLine="0" w:left="561"/>
      </w:pPr>
    </w:p>
    <w:p>
      <w:pPr>
        <w:pStyle w:val="P13"/>
        <w:ind w:firstLine="0" w:left="561"/>
      </w:pPr>
    </w:p>
    <w:p>
      <w:pPr>
        <w:pStyle w:val="P13"/>
        <w:ind w:firstLine="0" w:left="561"/>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pStyle w:val="P13"/>
        <w:ind w:firstLine="0" w:left="561"/>
        <w:rPr>
          <w:rStyle w:val="C3"/>
        </w:rPr>
      </w:pPr>
    </w:p>
    <w:p>
      <w:pPr>
        <w:pStyle w:val="P13"/>
        <w:ind w:firstLine="0" w:left="561"/>
      </w:pPr>
      <w:r>
        <w:t xml:space="preserve">de anteriores ha cambiado el concepto administrativo de </w:t>
      </w:r>
      <w:r>
        <w:rPr>
          <w:rStyle w:val="C3"/>
          <w:i w:val="1"/>
        </w:rPr>
        <w:t xml:space="preserve">"acción </w:t>
      </w:r>
      <w:r>
        <w:t>por reacción ante el problema consumado" por la "planificación estratégica y la proacción", para contener la gran demanda del servicio de salud que se genero en nuestra ciudad, en donde además de dar soporte total ante el cierre de otros nosocomios de salud y la restricción vista en el Hospital Arturo Illia;</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analizado Expediente de referencia, por la Comisión de Hacienda, la misma emite despacho favorable, aprobado por unanimidad, en Sesión Extraordinaria del día 09 de Diciembre de 2009;</w:t>
      </w:r>
    </w:p>
    <w:p>
      <w:pPr>
        <w:ind w:left="561"/>
        <w:jc w:val="right"/>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ind w:hanging="561" w:left="561"/>
        <w:jc w:val="both"/>
        <w:rPr>
          <w:rStyle w:val="C3"/>
          <w:rFonts w:ascii="Courier New" w:hAnsi="Courier New"/>
          <w:b w:val="1"/>
          <w:u w:val="single"/>
        </w:rPr>
      </w:pPr>
    </w:p>
    <w:p>
      <w:pPr>
        <w:pStyle w:val="P13"/>
        <w:ind w:hanging="601" w:left="561"/>
      </w:pPr>
      <w:r>
        <w:rPr>
          <w:rStyle w:val="C3"/>
          <w:b w:val="1"/>
          <w:u w:val="single"/>
        </w:rPr>
        <w:t>Art.1</w:t>
      </w:r>
      <w:r>
        <w:rPr>
          <w:rStyle w:val="C3"/>
          <w:b w:val="1"/>
        </w:rPr>
        <w:t>:</w:t>
      </w:r>
      <w:r>
        <w:t xml:space="preserve"> </w:t>
      </w:r>
      <w:r>
        <w:rPr>
          <w:rStyle w:val="C3"/>
          <w:b w:val="1"/>
        </w:rPr>
        <w:t>AUTORÍZASE</w:t>
      </w:r>
      <w:r>
        <w:t xml:space="preserve"> al Departamento Ejecutivo a percibir el importe de la deuda que en concepto de  Tasa por Servicios a la Propiedad correspondiente a la Identificación 00003395, y por Tasa de Comercio e Industria correspondiente a la Identificación N° 02127  el Sanatorio Alta Gracia SRL, mantiene con la Municipalidad de la Ciudad de Alta Gracia, a la promulgación de la presente, que será de contado, en un pago, a valores históricos, sin actualización ni intereses, debiendo dicha institución regularizar los honorarios  y gastos emergentes de la procuración de dicha deuda a los profesionales abogados intervinientes.-</w:t>
      </w:r>
    </w:p>
    <w:p>
      <w:pPr>
        <w:pStyle w:val="P13"/>
        <w:ind w:hanging="601" w:left="561"/>
        <w:rPr>
          <w:rStyle w:val="C3"/>
          <w:b w:val="1"/>
          <w:u w:val="single"/>
        </w:rPr>
      </w:pPr>
    </w:p>
    <w:p>
      <w:pPr>
        <w:pStyle w:val="P13"/>
        <w:ind w:hanging="601" w:left="561"/>
      </w:pPr>
      <w:r>
        <w:rPr>
          <w:rStyle w:val="C3"/>
          <w:b w:val="1"/>
          <w:u w:val="single"/>
        </w:rPr>
        <w:t>Art.2</w:t>
      </w:r>
      <w:r>
        <w:rPr>
          <w:rStyle w:val="C3"/>
          <w:b w:val="1"/>
        </w:rPr>
        <w:t>: EXÍMASE</w:t>
      </w:r>
      <w:r>
        <w:t xml:space="preserve"> al Sanatorio Alta Gracia SRL del pago de los montos que en concepto de Tasa por Servicios a la Propiedad correspondiere a la Identificación 00003395 y por Tasa de Comercio e Industria correspondiere a la identificación  N° 02127 desde la fecha de promulgación </w:t>
      </w:r>
    </w:p>
    <w:p>
      <w:pPr>
        <w:pStyle w:val="P13"/>
        <w:ind w:hanging="601" w:left="561"/>
        <w:jc w:val="right"/>
      </w:pPr>
      <w:r>
        <w:t>...///</w:t>
      </w:r>
    </w:p>
    <w:p>
      <w:pPr>
        <w:pStyle w:val="P13"/>
        <w:ind w:hanging="601" w:left="561"/>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pStyle w:val="P13"/>
        <w:ind w:hanging="601" w:left="561"/>
        <w:rPr>
          <w:rStyle w:val="C3"/>
        </w:rPr>
      </w:pPr>
    </w:p>
    <w:p>
      <w:pPr>
        <w:pStyle w:val="P13"/>
        <w:ind w:firstLine="0" w:left="561"/>
        <w:rPr>
          <w:rStyle w:val="C3"/>
          <w:b w:val="1"/>
        </w:rPr>
      </w:pPr>
      <w:r>
        <w:t>de la presente y por el termino de DOCE (12) meses, debiendo continuar con la presentación de la respectivas declaraciones juradas</w:t>
      </w:r>
    </w:p>
    <w:p>
      <w:pPr>
        <w:pStyle w:val="P20"/>
        <w:ind w:hanging="709" w:left="709"/>
        <w:jc w:val="both"/>
        <w:rPr>
          <w:rStyle w:val="C3"/>
          <w:sz w:val="24"/>
        </w:rPr>
      </w:pPr>
    </w:p>
    <w:p>
      <w:pPr>
        <w:pStyle w:val="P20"/>
        <w:ind w:hanging="709" w:left="709"/>
        <w:jc w:val="both"/>
        <w:rPr>
          <w:rStyle w:val="C3"/>
          <w:sz w:val="24"/>
        </w:rPr>
      </w:pPr>
      <w:r>
        <w:rPr>
          <w:rStyle w:val="C3"/>
          <w:b w:val="1"/>
          <w:sz w:val="24"/>
          <w:u w:val="single"/>
        </w:rPr>
        <w:t>Art.3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NUEVE DÍAS DEL MES DE DICIEMBRE DEL AÑO DOS MIL NUEVE.- </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7FBD8950">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0C77C258">
      <w:start w:val="2"/>
      <w:numFmt w:val="bullet"/>
      <w:suff w:val="tab"/>
      <w:lvlText w:val="-"/>
      <w:lvlJc w:val="left"/>
      <w:pPr>
        <w:ind w:hanging="360" w:left="1080"/>
        <w:tabs>
          <w:tab w:val="left" w:pos="1080" w:leader="none"/>
        </w:tabs>
      </w:pPr>
      <w:rPr>
        <w:rFonts w:ascii="Courier New" w:hAnsi="Courier New"/>
      </w:rPr>
    </w:lvl>
    <w:lvl w:ilvl="1" w:tplc="6F723454">
      <w:start w:val="1"/>
      <w:numFmt w:val="bullet"/>
      <w:suff w:val="tab"/>
      <w:lvlText w:val="o"/>
      <w:lvlJc w:val="left"/>
      <w:pPr>
        <w:ind w:hanging="360" w:left="1800"/>
        <w:tabs>
          <w:tab w:val="left" w:pos="1800" w:leader="none"/>
        </w:tabs>
      </w:pPr>
      <w:rPr>
        <w:rFonts w:ascii="Courier New" w:hAnsi="Courier New"/>
      </w:rPr>
    </w:lvl>
    <w:lvl w:ilvl="2" w:tplc="70AB8311">
      <w:start w:val="1"/>
      <w:numFmt w:val="bullet"/>
      <w:suff w:val="tab"/>
      <w:lvlText w:val=""/>
      <w:lvlJc w:val="left"/>
      <w:pPr>
        <w:ind w:hanging="360" w:left="2520"/>
        <w:tabs>
          <w:tab w:val="left" w:pos="2520" w:leader="none"/>
        </w:tabs>
      </w:pPr>
      <w:rPr>
        <w:rFonts w:ascii="Wingdings" w:hAnsi="Wingdings"/>
      </w:rPr>
    </w:lvl>
    <w:lvl w:ilvl="3" w:tplc="14D5F2C4">
      <w:start w:val="1"/>
      <w:numFmt w:val="bullet"/>
      <w:suff w:val="tab"/>
      <w:lvlText w:val=""/>
      <w:lvlJc w:val="left"/>
      <w:pPr>
        <w:ind w:hanging="360" w:left="3240"/>
        <w:tabs>
          <w:tab w:val="left" w:pos="3240" w:leader="none"/>
        </w:tabs>
      </w:pPr>
      <w:rPr>
        <w:rFonts w:ascii="Symbol" w:hAnsi="Symbol"/>
      </w:rPr>
    </w:lvl>
    <w:lvl w:ilvl="4" w:tplc="50A1EFD4">
      <w:start w:val="1"/>
      <w:numFmt w:val="bullet"/>
      <w:suff w:val="tab"/>
      <w:lvlText w:val="o"/>
      <w:lvlJc w:val="left"/>
      <w:pPr>
        <w:ind w:hanging="360" w:left="3960"/>
        <w:tabs>
          <w:tab w:val="left" w:pos="3960" w:leader="none"/>
        </w:tabs>
      </w:pPr>
      <w:rPr>
        <w:rFonts w:ascii="Courier New" w:hAnsi="Courier New"/>
      </w:rPr>
    </w:lvl>
    <w:lvl w:ilvl="5" w:tplc="18F4ADB2">
      <w:start w:val="1"/>
      <w:numFmt w:val="bullet"/>
      <w:suff w:val="tab"/>
      <w:lvlText w:val=""/>
      <w:lvlJc w:val="left"/>
      <w:pPr>
        <w:ind w:hanging="360" w:left="4680"/>
        <w:tabs>
          <w:tab w:val="left" w:pos="4680" w:leader="none"/>
        </w:tabs>
      </w:pPr>
      <w:rPr>
        <w:rFonts w:ascii="Wingdings" w:hAnsi="Wingdings"/>
      </w:rPr>
    </w:lvl>
    <w:lvl w:ilvl="6" w:tplc="23FC9501">
      <w:start w:val="1"/>
      <w:numFmt w:val="bullet"/>
      <w:suff w:val="tab"/>
      <w:lvlText w:val=""/>
      <w:lvlJc w:val="left"/>
      <w:pPr>
        <w:ind w:hanging="360" w:left="5400"/>
        <w:tabs>
          <w:tab w:val="left" w:pos="5400" w:leader="none"/>
        </w:tabs>
      </w:pPr>
      <w:rPr>
        <w:rFonts w:ascii="Symbol" w:hAnsi="Symbol"/>
      </w:rPr>
    </w:lvl>
    <w:lvl w:ilvl="7" w:tplc="615A793B">
      <w:start w:val="1"/>
      <w:numFmt w:val="bullet"/>
      <w:suff w:val="tab"/>
      <w:lvlText w:val="o"/>
      <w:lvlJc w:val="left"/>
      <w:pPr>
        <w:ind w:hanging="360" w:left="6120"/>
        <w:tabs>
          <w:tab w:val="left" w:pos="6120" w:leader="none"/>
        </w:tabs>
      </w:pPr>
      <w:rPr>
        <w:rFonts w:ascii="Courier New" w:hAnsi="Courier New"/>
      </w:rPr>
    </w:lvl>
    <w:lvl w:ilvl="8" w:tplc="65FF4520">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73AD5280">
      <w:start w:val="1"/>
      <w:numFmt w:val="bullet"/>
      <w:suff w:val="tab"/>
      <w:lvlText w:val="-"/>
      <w:lvlJc w:val="left"/>
      <w:pPr>
        <w:ind w:hanging="360" w:left="1080"/>
        <w:tabs>
          <w:tab w:val="left" w:pos="1080" w:leader="none"/>
        </w:tabs>
      </w:pPr>
      <w:rPr>
        <w:rFonts w:ascii="Courier New" w:hAnsi="Courier New"/>
      </w:rPr>
    </w:lvl>
    <w:lvl w:ilvl="1" w:tplc="59E859D0">
      <w:start w:val="1"/>
      <w:numFmt w:val="bullet"/>
      <w:suff w:val="tab"/>
      <w:lvlText w:val="o"/>
      <w:lvlJc w:val="left"/>
      <w:pPr>
        <w:ind w:hanging="360" w:left="1800"/>
        <w:tabs>
          <w:tab w:val="left" w:pos="1800" w:leader="none"/>
        </w:tabs>
      </w:pPr>
      <w:rPr>
        <w:rFonts w:ascii="Courier New" w:hAnsi="Courier New"/>
      </w:rPr>
    </w:lvl>
    <w:lvl w:ilvl="2" w:tplc="022B7AE2">
      <w:start w:val="1"/>
      <w:numFmt w:val="bullet"/>
      <w:suff w:val="tab"/>
      <w:lvlText w:val=""/>
      <w:lvlJc w:val="left"/>
      <w:pPr>
        <w:ind w:hanging="360" w:left="2520"/>
        <w:tabs>
          <w:tab w:val="left" w:pos="2520" w:leader="none"/>
        </w:tabs>
      </w:pPr>
      <w:rPr>
        <w:rFonts w:ascii="Wingdings" w:hAnsi="Wingdings"/>
      </w:rPr>
    </w:lvl>
    <w:lvl w:ilvl="3" w:tplc="31272281">
      <w:start w:val="1"/>
      <w:numFmt w:val="bullet"/>
      <w:suff w:val="tab"/>
      <w:lvlText w:val=""/>
      <w:lvlJc w:val="left"/>
      <w:pPr>
        <w:ind w:hanging="360" w:left="3240"/>
        <w:tabs>
          <w:tab w:val="left" w:pos="3240" w:leader="none"/>
        </w:tabs>
      </w:pPr>
      <w:rPr>
        <w:rFonts w:ascii="Symbol" w:hAnsi="Symbol"/>
      </w:rPr>
    </w:lvl>
    <w:lvl w:ilvl="4" w:tplc="62E6CDAF">
      <w:start w:val="1"/>
      <w:numFmt w:val="bullet"/>
      <w:suff w:val="tab"/>
      <w:lvlText w:val="o"/>
      <w:lvlJc w:val="left"/>
      <w:pPr>
        <w:ind w:hanging="360" w:left="3960"/>
        <w:tabs>
          <w:tab w:val="left" w:pos="3960" w:leader="none"/>
        </w:tabs>
      </w:pPr>
      <w:rPr>
        <w:rFonts w:ascii="Courier New" w:hAnsi="Courier New"/>
      </w:rPr>
    </w:lvl>
    <w:lvl w:ilvl="5" w:tplc="54BFF29D">
      <w:start w:val="1"/>
      <w:numFmt w:val="bullet"/>
      <w:suff w:val="tab"/>
      <w:lvlText w:val=""/>
      <w:lvlJc w:val="left"/>
      <w:pPr>
        <w:ind w:hanging="360" w:left="4680"/>
        <w:tabs>
          <w:tab w:val="left" w:pos="4680" w:leader="none"/>
        </w:tabs>
      </w:pPr>
      <w:rPr>
        <w:rFonts w:ascii="Wingdings" w:hAnsi="Wingdings"/>
      </w:rPr>
    </w:lvl>
    <w:lvl w:ilvl="6" w:tplc="601DB8D7">
      <w:start w:val="1"/>
      <w:numFmt w:val="bullet"/>
      <w:suff w:val="tab"/>
      <w:lvlText w:val=""/>
      <w:lvlJc w:val="left"/>
      <w:pPr>
        <w:ind w:hanging="360" w:left="5400"/>
        <w:tabs>
          <w:tab w:val="left" w:pos="5400" w:leader="none"/>
        </w:tabs>
      </w:pPr>
      <w:rPr>
        <w:rFonts w:ascii="Symbol" w:hAnsi="Symbol"/>
      </w:rPr>
    </w:lvl>
    <w:lvl w:ilvl="7" w:tplc="186A7AA6">
      <w:start w:val="1"/>
      <w:numFmt w:val="bullet"/>
      <w:suff w:val="tab"/>
      <w:lvlText w:val="o"/>
      <w:lvlJc w:val="left"/>
      <w:pPr>
        <w:ind w:hanging="360" w:left="6120"/>
        <w:tabs>
          <w:tab w:val="left" w:pos="6120" w:leader="none"/>
        </w:tabs>
      </w:pPr>
      <w:rPr>
        <w:rFonts w:ascii="Courier New" w:hAnsi="Courier New"/>
      </w:rPr>
    </w:lvl>
    <w:lvl w:ilvl="8" w:tplc="0BC16261">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2A292957">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2009-12-11T11:57:00Z</dcterms:created>
  <cp:lastModifiedBy>Ethan Puglia</cp:lastModifiedBy>
  <cp:lastPrinted>2014-09-19T16:59:00Z</cp:lastPrinted>
  <dcterms:modified xsi:type="dcterms:W3CDTF">2019-03-28T17:34:16Z</dcterms:modified>
  <cp:revision>14</cp:revision>
  <dc:title>PROYECTO DE ORDENANZA VIOLENCIA FAMILIAR</dc:title>
</cp:coreProperties>
</file>