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84CCA1" Type="http://schemas.openxmlformats.org/officeDocument/2006/relationships/officeDocument" Target="/word/document.xml" /><Relationship Id="coreR4A84CCA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8538</w:t>
      </w:r>
    </w:p>
    <w:p/>
    <w:p/>
    <w:p>
      <w:pPr>
        <w:ind w:hanging="561" w:left="561"/>
        <w:jc w:val="both"/>
        <w:rPr>
          <w:rStyle w:val="C3"/>
          <w:rFonts w:ascii="Courier New" w:hAnsi="Courier New"/>
        </w:rPr>
      </w:pPr>
      <w:r>
        <w:rPr>
          <w:rStyle w:val="C3"/>
          <w:rFonts w:ascii="Courier New" w:hAnsi="Courier New"/>
        </w:rPr>
        <w:t>Visto: El Expediente Nº 811/09, iniciado por Testa Adam, Federico, María Fernanda y María Laura - Previa; y</w:t>
      </w:r>
    </w:p>
    <w:p>
      <w:pPr>
        <w:rPr>
          <w:rStyle w:val="C3"/>
        </w:rPr>
      </w:pPr>
    </w:p>
    <w:p>
      <w:pPr>
        <w:rPr>
          <w:rStyle w:val="C3"/>
        </w:rPr>
      </w:pPr>
    </w:p>
    <w:p>
      <w:pPr>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el mismo consta a Fs.3, una Presentación Previa (06 de Julio del 2009) para la construcción de un edificio de departamentos en el inmueble Designación Catastral 1-1-82-22, ubicado en Av. España 223 de Barrio Sur de nuestra Ciudad, la cual es observada por el Área de Obras Privadas a Fs.3 vta., en una serie de consideraciones, como por ejemplo el no cumplimiento de los Arts. 230° (de los estacionamientos), 239° (FOS) y 87° y 88° (Balcones y Aleros) de la Ordenanza Nº 1294 (Código de Edificación y Urbanización de Alta Gracia);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virtud de la presentación previa mencionada anteriormente, se deja expresamente establecido la no autorización para construir, situación que no fuera contemplada tanto por el titular dominial del inmueble como por el profesional interviniente, ya que al día de la fecha la obra tiene un avanzado estado de ejecución;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Fs.11 la Profesional informa sobre el cumplimiento de las normativas relacionadas con la accesibilidad a este tipo de edificios, haciendo una apreciación respecto de que el convenio firmado entre el Gobierno de la Provincia de Córdoba y la Municipalidad de Alta Gracia, es aplicable solo a edificios públicos y no privados, pero no obstante esto, este proyecto cumpliría con lo exigido;</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Fs.12 la Profesional presenta nota solicitando prefactibilidad de proyecto a ejecutar, edificio de departamentos de 1 y 2 dormitorios, con la iluminación y ventilación necesarias, dejando patios de luz y cumplimentado  con  los índices de FOS y FOT para la ocupación del suelo y respetando el Código existente en la Ciudad;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pesar de lo observado por las Áreas Técnicas, a Fs.13 se realiza otra presentación previa que también es observada;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Fs.16 refol., el Área de Planeamiento informa que no se ha cumplimentado con las normativas en vigencia;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Fs.17, la profesional interviniente y propietaria del inmueble (según informe de Sección Catastro Municipal a Fs.2 vta.), adjunta nota dirigida a este Honorable Concejo Deliberante, donde hace una serie de consideraciones respecto de los temas por los cuales solicita tratamiento por la excepción (FOS, Balcones en Planta Alta y estacionamientos);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situación puntual de los estacionamientos en subsuelo, debido a las dimensiones de la parcela, fundamentalmente en la medida de frente de la misma: 8,50m, es prácticamente imposible de llevar adelante;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visitado el lugar por la Comisión de Obras y Servicios Públicos, se constató que la obra posee un avanzado estado de ejecución, habiendo sido paralizada en la actualidad a la espera de una resolución;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no surge de el presente la situación de autorización para inicio de obra, lo que deja a lo construido como superficie a relevar y en caso de existir  nueva  superficie  cubierta  para completar la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totalidad del proyecto, se considerará a la misma como proyectada;</w:t>
      </w:r>
    </w:p>
    <w:p>
      <w:pPr>
        <w:pStyle w:val="P13"/>
        <w:ind w:firstLine="0" w:left="561"/>
      </w:pPr>
      <w:r>
        <w:t xml:space="preserve"> </w:t>
      </w: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Mayoría, en Sesión Extraordinaria del día 09 de Diciembre de 2009;</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ind w:hanging="561" w:left="561"/>
        <w:jc w:val="both"/>
        <w:rPr>
          <w:rStyle w:val="C3"/>
          <w:rFonts w:ascii="Courier New" w:hAnsi="Courier New"/>
          <w:b w:val="1"/>
          <w:u w:val="single"/>
        </w:rPr>
      </w:pPr>
    </w:p>
    <w:p>
      <w:pPr>
        <w:pStyle w:val="P13"/>
        <w:ind w:hanging="601" w:left="561"/>
      </w:pPr>
      <w:r>
        <w:rPr>
          <w:rStyle w:val="C3"/>
          <w:b w:val="1"/>
          <w:u w:val="single"/>
        </w:rPr>
        <w:t>Art.1</w:t>
      </w:r>
      <w:r>
        <w:rPr>
          <w:rStyle w:val="C3"/>
          <w:b w:val="1"/>
        </w:rPr>
        <w:t>:</w:t>
      </w:r>
      <w:r>
        <w:t xml:space="preserve"> </w:t>
      </w:r>
      <w:r>
        <w:rPr>
          <w:rStyle w:val="C3"/>
          <w:b w:val="1"/>
        </w:rPr>
        <w:t>AUTORIZAR</w:t>
      </w:r>
      <w:r>
        <w:t xml:space="preserve"> a Testa Adam, Federico, Testa Adam, María Fernanda y Testa Adam, María Laura a ejecutar un complejo de departamentos en el inmueble Designación Catastral 1-1-82-22, ubicado en Av. España 223 de Barrio Sur de nuestra Ciudad, sin el cumplimiento de los Arts. 230° (de los estacionamientos) y 87° y 88° (Balcones y Aleros) de la Ordenanza Nº 1294 (Código de Edificación y Urbanización de Alta Gracia.-</w:t>
      </w:r>
    </w:p>
    <w:p>
      <w:pPr>
        <w:pStyle w:val="P13"/>
        <w:ind w:hanging="601" w:left="561"/>
        <w:rPr>
          <w:rStyle w:val="C3"/>
          <w:b w:val="1"/>
          <w:u w:val="single"/>
        </w:rPr>
      </w:pPr>
    </w:p>
    <w:p>
      <w:pPr>
        <w:pStyle w:val="P20"/>
        <w:ind w:hanging="561" w:left="561"/>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7BA871D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57C4D35C">
      <w:start w:val="2"/>
      <w:numFmt w:val="bullet"/>
      <w:suff w:val="tab"/>
      <w:lvlText w:val="-"/>
      <w:lvlJc w:val="left"/>
      <w:pPr>
        <w:ind w:hanging="360" w:left="1080"/>
        <w:tabs>
          <w:tab w:val="left" w:pos="1080" w:leader="none"/>
        </w:tabs>
      </w:pPr>
      <w:rPr>
        <w:rFonts w:ascii="Courier New" w:hAnsi="Courier New"/>
      </w:rPr>
    </w:lvl>
    <w:lvl w:ilvl="1" w:tplc="59F3936D">
      <w:start w:val="1"/>
      <w:numFmt w:val="bullet"/>
      <w:suff w:val="tab"/>
      <w:lvlText w:val="o"/>
      <w:lvlJc w:val="left"/>
      <w:pPr>
        <w:ind w:hanging="360" w:left="1800"/>
        <w:tabs>
          <w:tab w:val="left" w:pos="1800" w:leader="none"/>
        </w:tabs>
      </w:pPr>
      <w:rPr>
        <w:rFonts w:ascii="Courier New" w:hAnsi="Courier New"/>
      </w:rPr>
    </w:lvl>
    <w:lvl w:ilvl="2" w:tplc="59B7E8E3">
      <w:start w:val="1"/>
      <w:numFmt w:val="bullet"/>
      <w:suff w:val="tab"/>
      <w:lvlText w:val=""/>
      <w:lvlJc w:val="left"/>
      <w:pPr>
        <w:ind w:hanging="360" w:left="2520"/>
        <w:tabs>
          <w:tab w:val="left" w:pos="2520" w:leader="none"/>
        </w:tabs>
      </w:pPr>
      <w:rPr>
        <w:rFonts w:ascii="Wingdings" w:hAnsi="Wingdings"/>
      </w:rPr>
    </w:lvl>
    <w:lvl w:ilvl="3" w:tplc="26B2D7A6">
      <w:start w:val="1"/>
      <w:numFmt w:val="bullet"/>
      <w:suff w:val="tab"/>
      <w:lvlText w:val=""/>
      <w:lvlJc w:val="left"/>
      <w:pPr>
        <w:ind w:hanging="360" w:left="3240"/>
        <w:tabs>
          <w:tab w:val="left" w:pos="3240" w:leader="none"/>
        </w:tabs>
      </w:pPr>
      <w:rPr>
        <w:rFonts w:ascii="Symbol" w:hAnsi="Symbol"/>
      </w:rPr>
    </w:lvl>
    <w:lvl w:ilvl="4" w:tplc="77DB8009">
      <w:start w:val="1"/>
      <w:numFmt w:val="bullet"/>
      <w:suff w:val="tab"/>
      <w:lvlText w:val="o"/>
      <w:lvlJc w:val="left"/>
      <w:pPr>
        <w:ind w:hanging="360" w:left="3960"/>
        <w:tabs>
          <w:tab w:val="left" w:pos="3960" w:leader="none"/>
        </w:tabs>
      </w:pPr>
      <w:rPr>
        <w:rFonts w:ascii="Courier New" w:hAnsi="Courier New"/>
      </w:rPr>
    </w:lvl>
    <w:lvl w:ilvl="5" w:tplc="13AB5171">
      <w:start w:val="1"/>
      <w:numFmt w:val="bullet"/>
      <w:suff w:val="tab"/>
      <w:lvlText w:val=""/>
      <w:lvlJc w:val="left"/>
      <w:pPr>
        <w:ind w:hanging="360" w:left="4680"/>
        <w:tabs>
          <w:tab w:val="left" w:pos="4680" w:leader="none"/>
        </w:tabs>
      </w:pPr>
      <w:rPr>
        <w:rFonts w:ascii="Wingdings" w:hAnsi="Wingdings"/>
      </w:rPr>
    </w:lvl>
    <w:lvl w:ilvl="6" w:tplc="314BACD1">
      <w:start w:val="1"/>
      <w:numFmt w:val="bullet"/>
      <w:suff w:val="tab"/>
      <w:lvlText w:val=""/>
      <w:lvlJc w:val="left"/>
      <w:pPr>
        <w:ind w:hanging="360" w:left="5400"/>
        <w:tabs>
          <w:tab w:val="left" w:pos="5400" w:leader="none"/>
        </w:tabs>
      </w:pPr>
      <w:rPr>
        <w:rFonts w:ascii="Symbol" w:hAnsi="Symbol"/>
      </w:rPr>
    </w:lvl>
    <w:lvl w:ilvl="7" w:tplc="7936DBA6">
      <w:start w:val="1"/>
      <w:numFmt w:val="bullet"/>
      <w:suff w:val="tab"/>
      <w:lvlText w:val="o"/>
      <w:lvlJc w:val="left"/>
      <w:pPr>
        <w:ind w:hanging="360" w:left="6120"/>
        <w:tabs>
          <w:tab w:val="left" w:pos="6120" w:leader="none"/>
        </w:tabs>
      </w:pPr>
      <w:rPr>
        <w:rFonts w:ascii="Courier New" w:hAnsi="Courier New"/>
      </w:rPr>
    </w:lvl>
    <w:lvl w:ilvl="8" w:tplc="59094FA7">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6D36AEC7">
      <w:start w:val="1"/>
      <w:numFmt w:val="bullet"/>
      <w:suff w:val="tab"/>
      <w:lvlText w:val="-"/>
      <w:lvlJc w:val="left"/>
      <w:pPr>
        <w:ind w:hanging="360" w:left="1080"/>
        <w:tabs>
          <w:tab w:val="left" w:pos="1080" w:leader="none"/>
        </w:tabs>
      </w:pPr>
      <w:rPr>
        <w:rFonts w:ascii="Courier New" w:hAnsi="Courier New"/>
      </w:rPr>
    </w:lvl>
    <w:lvl w:ilvl="1" w:tplc="4DD33A85">
      <w:start w:val="1"/>
      <w:numFmt w:val="bullet"/>
      <w:suff w:val="tab"/>
      <w:lvlText w:val="o"/>
      <w:lvlJc w:val="left"/>
      <w:pPr>
        <w:ind w:hanging="360" w:left="1800"/>
        <w:tabs>
          <w:tab w:val="left" w:pos="1800" w:leader="none"/>
        </w:tabs>
      </w:pPr>
      <w:rPr>
        <w:rFonts w:ascii="Courier New" w:hAnsi="Courier New"/>
      </w:rPr>
    </w:lvl>
    <w:lvl w:ilvl="2" w:tplc="1243E67F">
      <w:start w:val="1"/>
      <w:numFmt w:val="bullet"/>
      <w:suff w:val="tab"/>
      <w:lvlText w:val=""/>
      <w:lvlJc w:val="left"/>
      <w:pPr>
        <w:ind w:hanging="360" w:left="2520"/>
        <w:tabs>
          <w:tab w:val="left" w:pos="2520" w:leader="none"/>
        </w:tabs>
      </w:pPr>
      <w:rPr>
        <w:rFonts w:ascii="Wingdings" w:hAnsi="Wingdings"/>
      </w:rPr>
    </w:lvl>
    <w:lvl w:ilvl="3" w:tplc="17C17E34">
      <w:start w:val="1"/>
      <w:numFmt w:val="bullet"/>
      <w:suff w:val="tab"/>
      <w:lvlText w:val=""/>
      <w:lvlJc w:val="left"/>
      <w:pPr>
        <w:ind w:hanging="360" w:left="3240"/>
        <w:tabs>
          <w:tab w:val="left" w:pos="3240" w:leader="none"/>
        </w:tabs>
      </w:pPr>
      <w:rPr>
        <w:rFonts w:ascii="Symbol" w:hAnsi="Symbol"/>
      </w:rPr>
    </w:lvl>
    <w:lvl w:ilvl="4" w:tplc="5D9D8B40">
      <w:start w:val="1"/>
      <w:numFmt w:val="bullet"/>
      <w:suff w:val="tab"/>
      <w:lvlText w:val="o"/>
      <w:lvlJc w:val="left"/>
      <w:pPr>
        <w:ind w:hanging="360" w:left="3960"/>
        <w:tabs>
          <w:tab w:val="left" w:pos="3960" w:leader="none"/>
        </w:tabs>
      </w:pPr>
      <w:rPr>
        <w:rFonts w:ascii="Courier New" w:hAnsi="Courier New"/>
      </w:rPr>
    </w:lvl>
    <w:lvl w:ilvl="5" w:tplc="55D221EA">
      <w:start w:val="1"/>
      <w:numFmt w:val="bullet"/>
      <w:suff w:val="tab"/>
      <w:lvlText w:val=""/>
      <w:lvlJc w:val="left"/>
      <w:pPr>
        <w:ind w:hanging="360" w:left="4680"/>
        <w:tabs>
          <w:tab w:val="left" w:pos="4680" w:leader="none"/>
        </w:tabs>
      </w:pPr>
      <w:rPr>
        <w:rFonts w:ascii="Wingdings" w:hAnsi="Wingdings"/>
      </w:rPr>
    </w:lvl>
    <w:lvl w:ilvl="6" w:tplc="7B9101E3">
      <w:start w:val="1"/>
      <w:numFmt w:val="bullet"/>
      <w:suff w:val="tab"/>
      <w:lvlText w:val=""/>
      <w:lvlJc w:val="left"/>
      <w:pPr>
        <w:ind w:hanging="360" w:left="5400"/>
        <w:tabs>
          <w:tab w:val="left" w:pos="5400" w:leader="none"/>
        </w:tabs>
      </w:pPr>
      <w:rPr>
        <w:rFonts w:ascii="Symbol" w:hAnsi="Symbol"/>
      </w:rPr>
    </w:lvl>
    <w:lvl w:ilvl="7" w:tplc="5820056A">
      <w:start w:val="1"/>
      <w:numFmt w:val="bullet"/>
      <w:suff w:val="tab"/>
      <w:lvlText w:val="o"/>
      <w:lvlJc w:val="left"/>
      <w:pPr>
        <w:ind w:hanging="360" w:left="6120"/>
        <w:tabs>
          <w:tab w:val="left" w:pos="6120" w:leader="none"/>
        </w:tabs>
      </w:pPr>
      <w:rPr>
        <w:rFonts w:ascii="Courier New" w:hAnsi="Courier New"/>
      </w:rPr>
    </w:lvl>
    <w:lvl w:ilvl="8" w:tplc="58933E73">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64B2F3C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2009-12-12T11:06:00Z</dcterms:created>
  <cp:lastModifiedBy>Ethan Puglia</cp:lastModifiedBy>
  <cp:lastPrinted>2009-12-12T11:20:00Z</cp:lastPrinted>
  <dcterms:modified xsi:type="dcterms:W3CDTF">2019-03-28T17:34:16Z</dcterms:modified>
  <cp:revision>8</cp:revision>
  <dc:title>PROYECTO DE ORDENANZA VIOLENCIA FAMILIAR</dc:title>
</cp:coreProperties>
</file>