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AA4CE0B" Type="http://schemas.openxmlformats.org/officeDocument/2006/relationships/officeDocument" Target="/word/document.xml" /><Relationship Id="coreR1AA4CE0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8540</w:t>
      </w:r>
    </w:p>
    <w:p/>
    <w:p/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1116/08, iniciado por Faoro, Paolo - Unificación y Subdivisión de Lotes; y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mismo se solicita la autorización para la unificación y posterior subdivisión de los lotes 5 y 6 de la Manzana 184, ubicados sobre la calle Cjal. Rusconi de Barrio el Cañito de nuestra Ciudad, cuyas Designación Catastrales son: 4-1-184-5 y 4-1-184-6, todo de acuerdo a plancheta catastral de Fs. 5, sin el cumplimiento de los Arts.219° (pasajes internos) y 253 (de la Subdivisión de la tierra) de la Ordenanza Nº 1294 (Código de Edificación y Urbanización de Alta Gracia);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manzana en cuestión es de dimensiones atípicas (lados que van desde 200 a 450 m) lo que genera la necesidad de aplicar nuevas soluciones a la problemática del desarrollo urbanístico de la zona;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urbanización pretendida se ajusta en términos generales a la existente y circundante;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Fs.4 se adjunta croquis de subdivisión propuesta, en el cual se observan dos situaciones que no cumplimentan con la normativa en vigencia, tal cual lo detalla  el  Área  de  Obras  Privadas  a Fs.8 (Medida de frente de los lotes que dan a la calle Cjal. Rusconi y longitud del pasaje interior);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Fs.7 vta. Sección Catastro Municipal informa sobre la titularidad de los lotes a unir y subdividir, no coincidiendo con los datos del solicitante, por lo que  se  le  requiere  la  presentación de la Escritura 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traslativa de dominio, la cual es presentada y consta a Fs.16 a 19;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las inmediaciones de este emprendimiento, existen otros de similares características de parcelamiento;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Área de Planeamiento a Fs.8 vta. informa que debería mejorar el proyecto presentado, considerando: Esquema de circulación vehicular y peatonal en el pasaje, Radio de giro en el final del mismo pasaje e ingresos a cada uno de lo lotes servidos por el mismo;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Fs.9 es presentada una nueva propuesta la cual a Fs.11 es considerada factible por Planeamiento;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esta nueva propuesta los puntos que deben ser considerados en tratamiento son: Longitud del pasaje y dimensiones de frente de los lotes que dan sobre calle Cjal. Rusconi;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13"/>
        <w:ind w:firstLine="0" w:left="561"/>
        <w:jc w:val="right"/>
      </w:pPr>
      <w:r>
        <w:t>Que la provisión de los Servicios debe realizarse por ser un elemento importante en el crecimiento ordenado y prolijo de nuestra Ciudad;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Obras y Servicios Públicos, la misma emite despacho favorable, aprobado por unanimidad, en Sesión Extraordinaria del día 09 de Diciembre de 2009;</w:t>
      </w: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3"/>
        <w:ind w:hanging="414" w:left="374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 xml:space="preserve">AUTORIZAR </w:t>
      </w:r>
      <w:r>
        <w:t xml:space="preserve">al Sr. Faoro, Paolo,  a realizar la mensura, unión y subdivisión de los lotes 5 y 6 de la Manzana 184, ubicados sobre la calle Cjal. Rusconi de Barrio el Cañito de nuestra Ciudad, cuyas Designaciones </w:t>
      </w:r>
    </w:p>
    <w:p>
      <w:pPr>
        <w:pStyle w:val="P13"/>
        <w:ind w:hanging="414" w:left="374"/>
        <w:jc w:val="right"/>
      </w:pPr>
      <w:r>
        <w:t>...///</w:t>
      </w:r>
    </w:p>
    <w:p>
      <w:pPr>
        <w:pStyle w:val="P13"/>
        <w:ind w:hanging="414" w:left="374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13"/>
        <w:ind w:hanging="414" w:left="374"/>
      </w:pPr>
      <w:r>
        <w:t>...///3.-</w:t>
      </w:r>
    </w:p>
    <w:p>
      <w:pPr>
        <w:pStyle w:val="P13"/>
        <w:ind w:hanging="414" w:left="374"/>
      </w:pPr>
    </w:p>
    <w:p>
      <w:pPr>
        <w:pStyle w:val="P13"/>
        <w:ind w:firstLine="0" w:left="374"/>
      </w:pPr>
      <w:r>
        <w:t>Catastrales son: 4-1-184-5 y 4-1-184-6, en un todo de acuerdo a croquis que consta a Fs.9, del Expediente de referencia, sin el cumplimiento de los Arts. 219° (pasajes internos) y 253° (de la Subdivisión de la tierra) de la Ordenanza Nº 1294° (Código de Edificación y Urbanización de Alta Gracia).-</w:t>
      </w:r>
    </w:p>
    <w:p>
      <w:pPr>
        <w:pStyle w:val="P13"/>
        <w:ind w:firstLine="0" w:left="374"/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ACEPTAR</w:t>
      </w:r>
      <w:r>
        <w:rPr>
          <w:rStyle w:val="C3"/>
          <w:rFonts w:ascii="Courier New" w:hAnsi="Courier New"/>
        </w:rPr>
        <w:t xml:space="preserve"> la donación de la superficie correspondiente al Pasaje detallado en croquis a Fs.9 del Expediente de referencia.-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AFECTAR</w:t>
      </w:r>
      <w:r>
        <w:rPr>
          <w:rStyle w:val="C3"/>
          <w:rFonts w:ascii="Courier New" w:hAnsi="Courier New"/>
        </w:rPr>
        <w:t xml:space="preserve"> al Dominio Público Municipal la misma superficie detallada en el artículo precedente.-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DEBERÁ </w:t>
      </w:r>
      <w:r>
        <w:rPr>
          <w:rStyle w:val="C3"/>
          <w:rFonts w:ascii="Courier New" w:hAnsi="Courier New"/>
        </w:rPr>
        <w:t xml:space="preserve"> el solicitante proveer a dicho proyecto de los servicios de infraestructura mínima, como son: Agua potable, energía eléctrica, gas natural, alumbrado público y colectora de efluentes cloacales.-</w:t>
      </w:r>
    </w:p>
    <w:p>
      <w:pPr>
        <w:pStyle w:val="P13"/>
        <w:ind w:firstLine="0" w:left="374"/>
        <w:rPr>
          <w:rStyle w:val="C3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5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NUEVE DÍAS DEL MES DE DICIEMBRE DEL AÑO DOS MIL NUEVE.- 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7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2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4">
    <w:nsid w:val="3515353F"/>
    <w:multiLevelType w:val="hybridMultilevel"/>
    <w:lvl w:ilvl="0" w:tplc="463582F7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1">
    <w:nsid w:val="4C661CEC"/>
    <w:multiLevelType w:val="hybridMultilevel"/>
    <w:lvl w:ilvl="0" w:tplc="1B5A3C20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B372E74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46545285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6080A27D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650239A7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2F36C9F4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4C98D569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73E939CF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0D71EDE3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2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9598D"/>
    <w:multiLevelType w:val="hybridMultilevel"/>
    <w:lvl w:ilvl="0" w:tplc="5C5D40F9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60060EA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3D064DB3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4D64C907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088B7911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0B1CFEF6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35F29B36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5DA1E320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04EACCBB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0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41">
    <w:nsid w:val="777B0B1B"/>
    <w:multiLevelType w:val="hybridMultilevel"/>
    <w:lvl w:ilvl="0" w:tplc="28E118A1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3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17"/>
  </w:num>
  <w:num w:numId="2">
    <w:abstractNumId w:val="30"/>
  </w:num>
  <w:num w:numId="3">
    <w:abstractNumId w:val="5"/>
  </w:num>
  <w:num w:numId="4">
    <w:abstractNumId w:val="10"/>
  </w:num>
  <w:num w:numId="5">
    <w:abstractNumId w:val="34"/>
  </w:num>
  <w:num w:numId="6">
    <w:abstractNumId w:val="39"/>
  </w:num>
  <w:num w:numId="7">
    <w:abstractNumId w:val="24"/>
  </w:num>
  <w:num w:numId="8">
    <w:abstractNumId w:val="21"/>
  </w:num>
  <w:num w:numId="9">
    <w:abstractNumId w:val="32"/>
  </w:num>
  <w:num w:numId="10">
    <w:abstractNumId w:val="40"/>
  </w:num>
  <w:num w:numId="11">
    <w:abstractNumId w:val="0"/>
  </w:num>
  <w:num w:numId="12">
    <w:abstractNumId w:val="20"/>
  </w:num>
  <w:num w:numId="13">
    <w:abstractNumId w:val="19"/>
  </w:num>
  <w:num w:numId="14">
    <w:abstractNumId w:val="23"/>
  </w:num>
  <w:num w:numId="15">
    <w:abstractNumId w:val="31"/>
  </w:num>
  <w:num w:numId="16">
    <w:abstractNumId w:val="14"/>
  </w:num>
  <w:num w:numId="17">
    <w:abstractNumId w:val="41"/>
  </w:num>
  <w:num w:numId="18">
    <w:abstractNumId w:val="12"/>
  </w:num>
  <w:num w:numId="19">
    <w:abstractNumId w:val="2"/>
  </w:num>
  <w:num w:numId="20">
    <w:abstractNumId w:val="33"/>
  </w:num>
  <w:num w:numId="21">
    <w:abstractNumId w:val="4"/>
  </w:num>
  <w:num w:numId="22">
    <w:abstractNumId w:val="7"/>
  </w:num>
  <w:num w:numId="23">
    <w:abstractNumId w:val="8"/>
  </w:num>
  <w:num w:numId="24">
    <w:abstractNumId w:val="28"/>
  </w:num>
  <w:num w:numId="25">
    <w:abstractNumId w:val="38"/>
  </w:num>
  <w:num w:numId="26">
    <w:abstractNumId w:val="27"/>
  </w:num>
  <w:num w:numId="27">
    <w:abstractNumId w:val="3"/>
  </w:num>
  <w:num w:numId="28">
    <w:abstractNumId w:val="25"/>
  </w:num>
  <w:num w:numId="29">
    <w:abstractNumId w:val="9"/>
  </w:num>
  <w:num w:numId="30">
    <w:abstractNumId w:val="35"/>
  </w:num>
  <w:num w:numId="31">
    <w:abstractNumId w:val="22"/>
  </w:num>
  <w:num w:numId="32">
    <w:abstractNumId w:val="18"/>
  </w:num>
  <w:num w:numId="33">
    <w:abstractNumId w:val="29"/>
  </w:num>
  <w:num w:numId="34">
    <w:abstractNumId w:val="26"/>
  </w:num>
  <w:num w:numId="35">
    <w:abstractNumId w:val="6"/>
  </w:num>
  <w:num w:numId="36">
    <w:abstractNumId w:val="36"/>
  </w:num>
  <w:num w:numId="37">
    <w:abstractNumId w:val="13"/>
  </w:num>
  <w:num w:numId="38">
    <w:abstractNumId w:val="15"/>
  </w:num>
  <w:num w:numId="39">
    <w:abstractNumId w:val="1"/>
  </w:num>
  <w:num w:numId="40">
    <w:abstractNumId w:val="37"/>
  </w:num>
  <w:num w:numId="41">
    <w:abstractNumId w:val="43"/>
  </w:num>
  <w:num w:numId="42">
    <w:abstractNumId w:val="42"/>
  </w:num>
  <w:num w:numId="43">
    <w:abstractNumId w:val="16"/>
  </w:num>
  <w:num w:numId="44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2009-12-12T11:49:00Z</dcterms:created>
  <cp:lastModifiedBy>Ethan Puglia</cp:lastModifiedBy>
  <cp:lastPrinted>2009-12-12T11:47:00Z</cp:lastPrinted>
  <dcterms:modified xsi:type="dcterms:W3CDTF">2019-03-28T17:34:16Z</dcterms:modified>
  <cp:revision>5</cp:revision>
  <dc:title>PROYECTO DE ORDENANZA VIOLENCIA FAMILIAR</dc:title>
</cp:coreProperties>
</file>