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1855D9" Type="http://schemas.openxmlformats.org/officeDocument/2006/relationships/officeDocument" Target="/word/document.xml" /><Relationship Id="coreR2A1855D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8554</w:t>
      </w:r>
    </w:p>
    <w:p/>
    <w:p/>
    <w:p>
      <w:pPr>
        <w:ind w:hanging="561" w:left="561"/>
        <w:jc w:val="both"/>
        <w:rPr>
          <w:rStyle w:val="C3"/>
          <w:rFonts w:ascii="Courier New" w:hAnsi="Courier New"/>
        </w:rPr>
      </w:pPr>
      <w:r>
        <w:rPr>
          <w:rStyle w:val="C3"/>
          <w:rFonts w:ascii="Courier New" w:hAnsi="Courier New"/>
        </w:rPr>
        <w:t>Visto: El Expediente Nº 1046/05, iniciado por Club Atlético Colón - Ref. Acta Constatación; y</w:t>
      </w:r>
    </w:p>
    <w:p>
      <w:pPr>
        <w:pStyle w:val="P15"/>
        <w:tabs>
          <w:tab w:val="clear" w:pos="4252" w:leader="none"/>
          <w:tab w:val="clear" w:pos="8504" w:leader="none"/>
        </w:tabs>
        <w:rPr>
          <w:rStyle w:val="C3"/>
        </w:rPr>
      </w:pPr>
    </w:p>
    <w:p>
      <w:pPr>
        <w:pStyle w:val="P2"/>
      </w:pPr>
      <w:r>
        <w:t>C O N S I D E R A N D O</w:t>
      </w:r>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en el mismo se solicita la autorización para continuar con el uso de suelo “Pista de Baile”, el cual no se encuentra dentro de lo usos permitidos por la Ordenanza N° 1294;</w:t>
      </w:r>
    </w:p>
    <w:p>
      <w:pPr>
        <w:ind w:left="561"/>
        <w:jc w:val="right"/>
        <w:rPr>
          <w:rStyle w:val="C3"/>
          <w:rFonts w:ascii="Courier New" w:hAnsi="Courier New"/>
        </w:rPr>
      </w:pPr>
    </w:p>
    <w:p>
      <w:pPr>
        <w:ind w:left="561"/>
        <w:jc w:val="both"/>
        <w:rPr>
          <w:rStyle w:val="C3"/>
          <w:rFonts w:ascii="Courier New" w:hAnsi="Courier New"/>
        </w:rPr>
      </w:pPr>
      <w:r>
        <w:rPr>
          <w:rStyle w:val="C3"/>
          <w:rFonts w:ascii="Courier New" w:hAnsi="Courier New"/>
        </w:rPr>
        <w:t>Que la Comisión de Obras y Servicios Públicos solicitó de acuerdo a despacho de fecha 14 de Octubre de 2009 (Fs.103), aprobado por unanimidad del Honorable Concejo Deliberante, se emita opinión por parte de las Áreas Técnicas del Departamento Ejecutivo;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Fs.106, el Área de Planeamiento informa que el uso solicitado ya está consolidado anterior a las normativas, por lo cual se opina favorable; </w:t>
      </w:r>
    </w:p>
    <w:p>
      <w:pPr>
        <w:pStyle w:val="P16"/>
        <w:ind w:left="113"/>
        <w:jc w:val="center"/>
        <w:rPr>
          <w:rStyle w:val="C3"/>
          <w:rFonts w:ascii="JaneAusten" w:hAnsi="JaneAusten"/>
          <w:b w:val="1"/>
          <w:sz w:val="24"/>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Extraordinaria del día 18 de Diciembre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pStyle w:val="P13"/>
        <w:ind w:hanging="374" w:left="374"/>
        <w:rPr>
          <w:rStyle w:val="C3"/>
        </w:rPr>
      </w:pPr>
    </w:p>
    <w:p>
      <w:pPr>
        <w:ind w:hanging="561" w:left="561"/>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rPr>
        <w:t>AUTORIZAR</w:t>
      </w:r>
      <w:r>
        <w:rPr>
          <w:rStyle w:val="C3"/>
          <w:rFonts w:ascii="Courier New" w:hAnsi="Courier New"/>
        </w:rPr>
        <w:t xml:space="preserve"> al Club Atlético Colón, propietario del inmueble Designación Catastral 1-1-81-9, ubicado calle Liniers N° 142 de Barrio Sur de nuestra Ciudad, al no cumplimiento del Art.231° “De los Usos” – de la Ordenanza N° 1294, Código de Edificación y Urbanización </w:t>
      </w:r>
    </w:p>
    <w:p>
      <w:pPr>
        <w:ind w:hanging="561" w:left="561"/>
        <w:jc w:val="right"/>
        <w:rPr>
          <w:rStyle w:val="C3"/>
          <w:rFonts w:ascii="Courier New" w:hAnsi="Courier New"/>
        </w:rPr>
      </w:pPr>
      <w:r>
        <w:rPr>
          <w:rStyle w:val="C3"/>
          <w:rFonts w:ascii="Courier New" w:hAnsi="Courier New"/>
        </w:rPr>
        <w:t>...///</w:t>
      </w:r>
    </w:p>
    <w:p>
      <w:pPr>
        <w:ind w:hanging="561" w:left="561"/>
        <w:jc w:val="right"/>
        <w:rPr>
          <w:rStyle w:val="C3"/>
          <w:rFonts w:ascii="Courier New" w:hAnsi="Courier New"/>
        </w:rPr>
      </w:pPr>
    </w:p>
    <w:p>
      <w:pPr>
        <w:ind w:hanging="561" w:left="561"/>
        <w:jc w:val="right"/>
        <w:rPr>
          <w:rStyle w:val="C3"/>
          <w:rFonts w:ascii="Courier New" w:hAnsi="Courier New"/>
        </w:rPr>
      </w:pPr>
    </w:p>
    <w:p>
      <w:pPr>
        <w:ind w:hanging="561" w:left="561"/>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Courier New" w:hAnsi="Courier New"/>
          <w:b w:val="0"/>
          <w:sz w:val="24"/>
        </w:rPr>
        <w:t>...///2.-</w:t>
      </w:r>
    </w:p>
    <w:p>
      <w:pPr>
        <w:ind w:hanging="561" w:left="561"/>
        <w:jc w:val="right"/>
        <w:rPr>
          <w:rStyle w:val="C3"/>
          <w:rFonts w:ascii="Courier New" w:hAnsi="Courier New"/>
        </w:rPr>
      </w:pPr>
    </w:p>
    <w:p>
      <w:pPr>
        <w:ind w:left="374"/>
        <w:jc w:val="both"/>
        <w:rPr>
          <w:rStyle w:val="C3"/>
          <w:rFonts w:ascii="Courier New" w:hAnsi="Courier New"/>
        </w:rPr>
      </w:pPr>
      <w:r>
        <w:rPr>
          <w:rStyle w:val="C3"/>
          <w:rFonts w:ascii="Courier New" w:hAnsi="Courier New"/>
        </w:rPr>
        <w:t>en vigencia transitoria para Expedientes iniciados en fechas anteriores a la Publicación del nuevo Plan de Ordenamiento Urbano.-</w:t>
      </w:r>
    </w:p>
    <w:p>
      <w:pPr>
        <w:jc w:val="both"/>
        <w:rPr>
          <w:rStyle w:val="C3"/>
          <w:rFonts w:ascii="Courier New" w:hAnsi="Courier New"/>
        </w:rPr>
      </w:pPr>
    </w:p>
    <w:p>
      <w:pPr>
        <w:pStyle w:val="P20"/>
        <w:ind w:hanging="374" w:left="374"/>
        <w:jc w:val="both"/>
        <w:rPr>
          <w:rStyle w:val="C3"/>
          <w:sz w:val="24"/>
        </w:rPr>
      </w:pPr>
      <w:r>
        <w:rPr>
          <w:rStyle w:val="C3"/>
          <w:b w:val="1"/>
          <w:sz w:val="24"/>
          <w:u w:val="single"/>
        </w:rPr>
        <w:t>Art.</w:t>
      </w:r>
      <w:r>
        <w:rPr>
          <w:rStyle w:val="C3"/>
          <w:b w:val="1"/>
          <w:sz w:val="24"/>
          <w:u w:val="single"/>
        </w:rPr>
        <w:t>2</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69542034">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0B9FE8B1">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7085BF83">
      <w:start w:val="2"/>
      <w:numFmt w:val="bullet"/>
      <w:suff w:val="tab"/>
      <w:lvlText w:val="-"/>
      <w:lvlJc w:val="left"/>
      <w:pPr>
        <w:ind w:hanging="360" w:left="1080"/>
        <w:tabs>
          <w:tab w:val="left" w:pos="1080" w:leader="none"/>
        </w:tabs>
      </w:pPr>
      <w:rPr>
        <w:rFonts w:ascii="Courier New" w:hAnsi="Courier New"/>
      </w:rPr>
    </w:lvl>
    <w:lvl w:ilvl="1" w:tplc="710B766D">
      <w:start w:val="1"/>
      <w:numFmt w:val="bullet"/>
      <w:suff w:val="tab"/>
      <w:lvlText w:val="o"/>
      <w:lvlJc w:val="left"/>
      <w:pPr>
        <w:ind w:hanging="360" w:left="1800"/>
        <w:tabs>
          <w:tab w:val="left" w:pos="1800" w:leader="none"/>
        </w:tabs>
      </w:pPr>
      <w:rPr>
        <w:rFonts w:ascii="Courier New" w:hAnsi="Courier New"/>
      </w:rPr>
    </w:lvl>
    <w:lvl w:ilvl="2" w:tplc="6DD3A181">
      <w:start w:val="1"/>
      <w:numFmt w:val="bullet"/>
      <w:suff w:val="tab"/>
      <w:lvlText w:val=""/>
      <w:lvlJc w:val="left"/>
      <w:pPr>
        <w:ind w:hanging="360" w:left="2520"/>
        <w:tabs>
          <w:tab w:val="left" w:pos="2520" w:leader="none"/>
        </w:tabs>
      </w:pPr>
      <w:rPr>
        <w:rFonts w:ascii="Wingdings" w:hAnsi="Wingdings"/>
      </w:rPr>
    </w:lvl>
    <w:lvl w:ilvl="3" w:tplc="583DED81">
      <w:start w:val="1"/>
      <w:numFmt w:val="bullet"/>
      <w:suff w:val="tab"/>
      <w:lvlText w:val=""/>
      <w:lvlJc w:val="left"/>
      <w:pPr>
        <w:ind w:hanging="360" w:left="3240"/>
        <w:tabs>
          <w:tab w:val="left" w:pos="3240" w:leader="none"/>
        </w:tabs>
      </w:pPr>
      <w:rPr>
        <w:rFonts w:ascii="Symbol" w:hAnsi="Symbol"/>
      </w:rPr>
    </w:lvl>
    <w:lvl w:ilvl="4" w:tplc="78D636D7">
      <w:start w:val="1"/>
      <w:numFmt w:val="bullet"/>
      <w:suff w:val="tab"/>
      <w:lvlText w:val="o"/>
      <w:lvlJc w:val="left"/>
      <w:pPr>
        <w:ind w:hanging="360" w:left="3960"/>
        <w:tabs>
          <w:tab w:val="left" w:pos="3960" w:leader="none"/>
        </w:tabs>
      </w:pPr>
      <w:rPr>
        <w:rFonts w:ascii="Courier New" w:hAnsi="Courier New"/>
      </w:rPr>
    </w:lvl>
    <w:lvl w:ilvl="5" w:tplc="43B52F59">
      <w:start w:val="1"/>
      <w:numFmt w:val="bullet"/>
      <w:suff w:val="tab"/>
      <w:lvlText w:val=""/>
      <w:lvlJc w:val="left"/>
      <w:pPr>
        <w:ind w:hanging="360" w:left="4680"/>
        <w:tabs>
          <w:tab w:val="left" w:pos="4680" w:leader="none"/>
        </w:tabs>
      </w:pPr>
      <w:rPr>
        <w:rFonts w:ascii="Wingdings" w:hAnsi="Wingdings"/>
      </w:rPr>
    </w:lvl>
    <w:lvl w:ilvl="6" w:tplc="2F0A4453">
      <w:start w:val="1"/>
      <w:numFmt w:val="bullet"/>
      <w:suff w:val="tab"/>
      <w:lvlText w:val=""/>
      <w:lvlJc w:val="left"/>
      <w:pPr>
        <w:ind w:hanging="360" w:left="5400"/>
        <w:tabs>
          <w:tab w:val="left" w:pos="5400" w:leader="none"/>
        </w:tabs>
      </w:pPr>
      <w:rPr>
        <w:rFonts w:ascii="Symbol" w:hAnsi="Symbol"/>
      </w:rPr>
    </w:lvl>
    <w:lvl w:ilvl="7" w:tplc="7B7B6269">
      <w:start w:val="1"/>
      <w:numFmt w:val="bullet"/>
      <w:suff w:val="tab"/>
      <w:lvlText w:val="o"/>
      <w:lvlJc w:val="left"/>
      <w:pPr>
        <w:ind w:hanging="360" w:left="6120"/>
        <w:tabs>
          <w:tab w:val="left" w:pos="6120" w:leader="none"/>
        </w:tabs>
      </w:pPr>
      <w:rPr>
        <w:rFonts w:ascii="Courier New" w:hAnsi="Courier New"/>
      </w:rPr>
    </w:lvl>
    <w:lvl w:ilvl="8" w:tplc="61655251">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7B9B20AB">
      <w:start w:val="1"/>
      <w:numFmt w:val="bullet"/>
      <w:suff w:val="tab"/>
      <w:lvlText w:val="-"/>
      <w:lvlJc w:val="left"/>
      <w:pPr>
        <w:ind w:hanging="360" w:left="1080"/>
        <w:tabs>
          <w:tab w:val="left" w:pos="1080" w:leader="none"/>
        </w:tabs>
      </w:pPr>
      <w:rPr>
        <w:rFonts w:ascii="Courier New" w:hAnsi="Courier New"/>
      </w:rPr>
    </w:lvl>
    <w:lvl w:ilvl="1" w:tplc="4B7A9788">
      <w:start w:val="1"/>
      <w:numFmt w:val="bullet"/>
      <w:suff w:val="tab"/>
      <w:lvlText w:val="o"/>
      <w:lvlJc w:val="left"/>
      <w:pPr>
        <w:ind w:hanging="360" w:left="1800"/>
        <w:tabs>
          <w:tab w:val="left" w:pos="1800" w:leader="none"/>
        </w:tabs>
      </w:pPr>
      <w:rPr>
        <w:rFonts w:ascii="Courier New" w:hAnsi="Courier New"/>
      </w:rPr>
    </w:lvl>
    <w:lvl w:ilvl="2" w:tplc="0AEEFBB0">
      <w:start w:val="1"/>
      <w:numFmt w:val="bullet"/>
      <w:suff w:val="tab"/>
      <w:lvlText w:val=""/>
      <w:lvlJc w:val="left"/>
      <w:pPr>
        <w:ind w:hanging="360" w:left="2520"/>
        <w:tabs>
          <w:tab w:val="left" w:pos="2520" w:leader="none"/>
        </w:tabs>
      </w:pPr>
      <w:rPr>
        <w:rFonts w:ascii="Wingdings" w:hAnsi="Wingdings"/>
      </w:rPr>
    </w:lvl>
    <w:lvl w:ilvl="3" w:tplc="258E5117">
      <w:start w:val="1"/>
      <w:numFmt w:val="bullet"/>
      <w:suff w:val="tab"/>
      <w:lvlText w:val=""/>
      <w:lvlJc w:val="left"/>
      <w:pPr>
        <w:ind w:hanging="360" w:left="3240"/>
        <w:tabs>
          <w:tab w:val="left" w:pos="3240" w:leader="none"/>
        </w:tabs>
      </w:pPr>
      <w:rPr>
        <w:rFonts w:ascii="Symbol" w:hAnsi="Symbol"/>
      </w:rPr>
    </w:lvl>
    <w:lvl w:ilvl="4" w:tplc="3882D5B8">
      <w:start w:val="1"/>
      <w:numFmt w:val="bullet"/>
      <w:suff w:val="tab"/>
      <w:lvlText w:val="o"/>
      <w:lvlJc w:val="left"/>
      <w:pPr>
        <w:ind w:hanging="360" w:left="3960"/>
        <w:tabs>
          <w:tab w:val="left" w:pos="3960" w:leader="none"/>
        </w:tabs>
      </w:pPr>
      <w:rPr>
        <w:rFonts w:ascii="Courier New" w:hAnsi="Courier New"/>
      </w:rPr>
    </w:lvl>
    <w:lvl w:ilvl="5" w:tplc="1CE8A32E">
      <w:start w:val="1"/>
      <w:numFmt w:val="bullet"/>
      <w:suff w:val="tab"/>
      <w:lvlText w:val=""/>
      <w:lvlJc w:val="left"/>
      <w:pPr>
        <w:ind w:hanging="360" w:left="4680"/>
        <w:tabs>
          <w:tab w:val="left" w:pos="4680" w:leader="none"/>
        </w:tabs>
      </w:pPr>
      <w:rPr>
        <w:rFonts w:ascii="Wingdings" w:hAnsi="Wingdings"/>
      </w:rPr>
    </w:lvl>
    <w:lvl w:ilvl="6" w:tplc="19C30016">
      <w:start w:val="1"/>
      <w:numFmt w:val="bullet"/>
      <w:suff w:val="tab"/>
      <w:lvlText w:val=""/>
      <w:lvlJc w:val="left"/>
      <w:pPr>
        <w:ind w:hanging="360" w:left="5400"/>
        <w:tabs>
          <w:tab w:val="left" w:pos="5400" w:leader="none"/>
        </w:tabs>
      </w:pPr>
      <w:rPr>
        <w:rFonts w:ascii="Symbol" w:hAnsi="Symbol"/>
      </w:rPr>
    </w:lvl>
    <w:lvl w:ilvl="7" w:tplc="1B10BA70">
      <w:start w:val="1"/>
      <w:numFmt w:val="bullet"/>
      <w:suff w:val="tab"/>
      <w:lvlText w:val="o"/>
      <w:lvlJc w:val="left"/>
      <w:pPr>
        <w:ind w:hanging="360" w:left="6120"/>
        <w:tabs>
          <w:tab w:val="left" w:pos="6120" w:leader="none"/>
        </w:tabs>
      </w:pPr>
      <w:rPr>
        <w:rFonts w:ascii="Courier New" w:hAnsi="Courier New"/>
      </w:rPr>
    </w:lvl>
    <w:lvl w:ilvl="8" w:tplc="742B6FC6">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03753A1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3D02D9A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2009-12-22T15:00:00Z</dcterms:created>
  <cp:lastModifiedBy>Ethan Puglia</cp:lastModifiedBy>
  <cp:lastPrinted>2009-12-22T15:10:00Z</cp:lastPrinted>
  <dcterms:modified xsi:type="dcterms:W3CDTF">2019-03-28T17:34:18Z</dcterms:modified>
  <cp:revision>7</cp:revision>
  <dc:title>PROYECTO DE ORDENANZA VIOLENCIA FAMILIAR</dc:title>
</cp:coreProperties>
</file>