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226679" Type="http://schemas.openxmlformats.org/officeDocument/2006/relationships/officeDocument" Target="/word/document.xml" /><Relationship Id="coreR3522667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8556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1175/09;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obrante a fs. 02, la Sra. Silvia Esther Prosperi, en su carácter de poseedora de la octava parte del lote 1-Mz4-C3-1-Mz326-P16-Cta 18275, solicita eximición provisoria de pago de la Tasa por Servicios a la Propiedad;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fracción restante de la designación catastral de mención pertenece al Sr. Lucas Matías Andrade (Fs.12 vta.);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Que dicha solicitud se realiza a los fines de la presentación del expediente de plano de mensura,  unión y subdivisión correspondiente;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Extraordinaria del día 18 de Diciembre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3"/>
        <w:ind w:hanging="374" w:left="374"/>
        <w:rPr>
          <w:rStyle w:val="C3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color w:val="000000"/>
          <w:sz w:val="24"/>
          <w:u w:val="single"/>
        </w:rPr>
        <w:t>Art.1</w:t>
      </w:r>
      <w:r>
        <w:rPr>
          <w:rStyle w:val="C3"/>
          <w:b w:val="1"/>
          <w:color w:val="000000"/>
          <w:sz w:val="24"/>
        </w:rPr>
        <w:t>:</w:t>
      </w:r>
      <w:r>
        <w:rPr>
          <w:rStyle w:val="C3"/>
          <w:color w:val="000000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AUTORIZASE </w:t>
      </w:r>
      <w:r>
        <w:rPr>
          <w:rStyle w:val="C3"/>
          <w:sz w:val="24"/>
        </w:rPr>
        <w:t xml:space="preserve"> al Departamento Ejecutivo, a través del área correspondiente, a no exigir la cancelación de deuda que por tasa a la propiedad posee con el Estado Municipal, el lote 1-Mz4-C3-1-Mz326-P16-Cta. 18275, a los fines de la presentación del Expediente de plano de mensura,  unión y subdivisión correspondiente por parte  de la Sra. Silvia Esther Prosperi, en su carácter de poseedora de la octava parte del inmueble en cuestión.-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DIECIOCHO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08E95A8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20CB526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21FEBA11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321DD11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4504F50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33F0D3E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3019AB1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B5BCC45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56EB087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2A891E4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2E49058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2C514787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56E27BE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C0860B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76A7F7E6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3DEAEA13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086CBB0F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8213C51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0B17DE39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0AD00EB7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5BD4A41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1822C6F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2009-12-30T13:42:00Z</dcterms:created>
  <cp:lastModifiedBy>Ethan Puglia</cp:lastModifiedBy>
  <cp:lastPrinted>2010-01-05T14:13:00Z</cp:lastPrinted>
  <dcterms:modified xsi:type="dcterms:W3CDTF">2019-03-28T17:34:18Z</dcterms:modified>
  <cp:revision>9</cp:revision>
  <dc:title>PROYECTO DE ORDENANZA VIOLENCIA FAMILIAR</dc:title>
</cp:coreProperties>
</file>