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815069" Type="http://schemas.openxmlformats.org/officeDocument/2006/relationships/officeDocument" Target="/word/document.xml" /><Relationship Id="coreR6D81506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8566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8347 que regula el tránsito pesado; y</w:t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considerando de forma se consigno que la misma fue aprobada por mayoría, debiendo decir por “unanimidad”;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el acta de la sesión correspondiente acredita tal afirmación;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resulta necesario plasmar la real voluntad popular en el tratamiento y en la aprobación de la norma en cuestión;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en Comisión, el mismo emite despacho favorable, aprobado por Unanimidad en Sesión Extraordinaria del día 29 de Diciembre de 2009;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</w:rPr>
        <w:t xml:space="preserve">  el considerando de forma de la Ordenanza Nº 8347 el cual quedará redactado de la siguiente manera: “Que analizado el Proyecto de Ordenanza, por la Comisión de Legislación General, la misma emite despacho favorable, aprobado por Unanimidad en Sesión Extraordinaria del día 19 de Diciembre de 2008”.-</w:t>
      </w:r>
    </w:p>
    <w:p>
      <w:pPr>
        <w:pStyle w:val="P20"/>
        <w:ind w:hanging="374" w:left="37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374" w:left="374"/>
        <w:jc w:val="both"/>
        <w:rPr>
          <w:rStyle w:val="C3"/>
          <w:b w:val="1"/>
          <w:sz w:val="24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ind w:left="113"/>
      </w:pPr>
      <w:r>
        <w:t xml:space="preserve">DADA EN LA SALA DE SESIONES DEL HONORABLE CONCEJO DELIBERANTE A LOS VEINTINUEVE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4588A71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1C874DE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506C4C1E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063E107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A73B4D2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A970EEF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ABDAAA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D8CE1F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2367A6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09B2E3D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AE7167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3F30570B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9F9EAE9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74C419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976BFB7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856E6C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4D94D45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495C2C3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2444E20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07D842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7244268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2675107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2010-01-05T14:25:00Z</dcterms:created>
  <cp:lastModifiedBy>Ethan Puglia</cp:lastModifiedBy>
  <cp:lastPrinted>2009-12-31T14:46:00Z</cp:lastPrinted>
  <dcterms:modified xsi:type="dcterms:W3CDTF">2019-03-28T17:34:19Z</dcterms:modified>
  <cp:revision>7</cp:revision>
  <dc:title>PROYECTO DE ORDENANZA VIOLENCIA FAMILIAR</dc:title>
</cp:coreProperties>
</file>