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F157EF" Type="http://schemas.openxmlformats.org/officeDocument/2006/relationships/officeDocument" Target="/word/document.xml" /><Relationship Id="coreR3BF157E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</w:pPr>
      <w:r>
        <w:t>ORDENANZA N° 8570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1976/09, iniciado por el Sr. Pazos Fernando Oscar;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18"/>
        <w:ind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Que el Sr. Pazos es permisionario de Remis de la chapa Nº 028, solicitando una prórroga de no menos de NOVENTA (90) días para el cambio de la unidad;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fundamenta su solicitud en razones económicas como así también que ha disminuido el trabajo en un cuarenta por ciento (40%);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a Fs.6 vuelta, Secretaría General encuentra factible lo solicitado;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       Que el Concejo reunido en comisión considera conveniente emitir despacho favorable en razón de lo informado por Secretaría General como asimismo atendiendo a razones de trabajo, ya que es la única fuente de ingresos;</w:t>
      </w:r>
    </w:p>
    <w:p>
      <w:pPr>
        <w:pStyle w:val="P18"/>
        <w:ind w:hanging="992" w:left="567"/>
        <w:jc w:val="both"/>
        <w:rPr>
          <w:rStyle w:val="C3"/>
          <w:b w:val="1"/>
          <w:u w:val="none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Proyecto de Ordenanza por el Concejo en Comisión, el mismo emite despacho favorable, aprobado por Unanimidad, en Sesión Extraordinaria del día 29 de Diciembre de 2009;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5"/>
        <w:widowControl w:val="0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pStyle w:val="P15"/>
        <w:widowControl w:val="0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Sr. Pazos Fernando Oscar, DNI Nº 13.369.467, permisionario de la chapa de Remis  Nº 028, una prórroga de NOVENTA (90) días, para el cambio de la unidad, el que regirá a partir de la promulgación de la presente Ordenanza.-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VEINTINUEVE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2722DB3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5B68A23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65E96174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C4B947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CF054A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0486E4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9D3DDE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4DD79BF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6F17B6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C660138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FF66C9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212F865E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250B6C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AA7D6A8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017E6BA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F7B237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564E4A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DED0B86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2F19087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27722E1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54950B1D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569DF6CC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2010-01-07T11:10:00Z</dcterms:created>
  <cp:lastModifiedBy>Ethan Puglia</cp:lastModifiedBy>
  <cp:lastPrinted>2010-01-22T12:36:00Z</cp:lastPrinted>
  <dcterms:modified xsi:type="dcterms:W3CDTF">2019-03-28T17:34:19Z</dcterms:modified>
  <cp:revision>11</cp:revision>
  <dc:title>PROYECTO DE ORDENANZA VIOLENCIA FAMILIAR</dc:title>
</cp:coreProperties>
</file>