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9006752" Type="http://schemas.openxmlformats.org/officeDocument/2006/relationships/officeDocument" Target="/word/document.xml" /><Relationship Id="coreR5900675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 8574</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La Ordenanza Nº 8555 sancionada a los dieciocho días de mes de Diciembre de 2009; y</w:t>
      </w:r>
    </w:p>
    <w:p>
      <w:pPr>
        <w:pStyle w:val="P15"/>
        <w:tabs>
          <w:tab w:val="clear" w:pos="4252" w:leader="none"/>
          <w:tab w:val="clear" w:pos="8504" w:leader="none"/>
        </w:tabs>
        <w:rPr>
          <w:rStyle w:val="C3"/>
        </w:rPr>
      </w:pPr>
    </w:p>
    <w:p>
      <w:pPr>
        <w:pStyle w:val="P2"/>
        <w:rPr>
          <w:rStyle w:val="C3"/>
        </w:rPr>
      </w:pPr>
    </w:p>
    <w:p>
      <w:pPr>
        <w:pStyle w:val="P2"/>
      </w:pPr>
      <w:r>
        <w:t>C O N S I D E R A N D O</w:t>
      </w:r>
    </w:p>
    <w:p/>
    <w:p>
      <w:pPr>
        <w:pStyle w:val="P15"/>
        <w:tabs>
          <w:tab w:val="clear" w:pos="4252" w:leader="none"/>
          <w:tab w:val="clear" w:pos="8504" w:leader="none"/>
        </w:tabs>
      </w:pPr>
    </w:p>
    <w:p>
      <w:pPr>
        <w:ind w:left="561"/>
        <w:jc w:val="both"/>
        <w:rPr>
          <w:rStyle w:val="C3"/>
          <w:rFonts w:ascii="Courier New" w:hAnsi="Courier New"/>
        </w:rPr>
      </w:pPr>
      <w:r>
        <w:rPr>
          <w:rStyle w:val="C3"/>
          <w:rFonts w:ascii="Courier New" w:hAnsi="Courier New"/>
        </w:rPr>
        <w:t>Que la misma fuera el resultado de análisis y estudio de pedido de aumento de tarifa por parte de las tres empresas prestatarias del Servicio Público de Transporte Urbano de pasajeros;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una vez acordado lo solicitado con algunas modificaciones, se sancionara la mencionada norma que comenzaría a regir a partir del 01 de Enero de 2010 y que el boleto estudiantil determinado por la Ordenanza Nº 3542, durante el mes de Marzo del 2010, tendrá un costo de PESOS CINCUENTA CENTAVOS ($0,50);</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en Ordenanza Nº 7500, en la cual se otorgará aumento anterior de tarifa del mismo Servicio Público, se tuvo en cuenta la división en 1º y 2º sección del boleto urbano, existiendo una diferencia entre ambos del TREINTA POR CIENTO (30%) en el costo;</w:t>
      </w:r>
    </w:p>
    <w:p>
      <w:pPr>
        <w:ind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 xml:space="preserve">    Que analizado el Expediente de referencia por la Comisión de Transporte, la misma emite despacho favorable, aprobado por unanimidad en Sesión Ordinaria del día 17 de Marzo de 2010.- </w:t>
      </w:r>
    </w:p>
    <w:p>
      <w:pPr>
        <w:ind w:hanging="561" w:left="561"/>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rPr>
      </w:pPr>
    </w:p>
    <w:p>
      <w:pPr>
        <w:ind w:hanging="561"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b w:val="1"/>
          <w:color w:val="000000"/>
          <w:u w:val="single"/>
        </w:rPr>
      </w:pPr>
    </w:p>
    <w:p>
      <w:pPr>
        <w:ind w:left="561"/>
        <w:jc w:val="both"/>
        <w:rPr>
          <w:rStyle w:val="C3"/>
          <w:rFonts w:ascii="Courier New" w:hAnsi="Courier New"/>
          <w:b w:val="1"/>
          <w:color w:val="000000"/>
          <w:u w:val="single"/>
        </w:rPr>
      </w:pPr>
    </w:p>
    <w:p>
      <w:pPr>
        <w:ind w:left="561"/>
        <w:jc w:val="both"/>
        <w:rPr>
          <w:rStyle w:val="C3"/>
          <w:rFonts w:ascii="Courier New" w:hAnsi="Courier New"/>
          <w:b w:val="1"/>
          <w:color w:val="000000"/>
          <w:u w:val="single"/>
        </w:rPr>
      </w:pPr>
    </w:p>
    <w:p>
      <w:pPr>
        <w:ind w:left="561"/>
        <w:jc w:val="both"/>
        <w:rPr>
          <w:rStyle w:val="C3"/>
          <w:rFonts w:ascii="Courier New" w:hAnsi="Courier New"/>
          <w:b w:val="1"/>
          <w:color w:val="000000"/>
          <w:u w:val="single"/>
        </w:rPr>
      </w:pPr>
    </w:p>
    <w:p>
      <w:pPr>
        <w:ind w:left="561"/>
        <w:jc w:val="both"/>
        <w:rPr>
          <w:rStyle w:val="C3"/>
          <w:rFonts w:ascii="Courier New" w:hAnsi="Courier New"/>
          <w:b w:val="1"/>
          <w:color w:val="000000"/>
          <w:u w:val="single"/>
        </w:rPr>
      </w:pPr>
    </w:p>
    <w:p>
      <w:pPr>
        <w:ind w:left="561"/>
        <w:jc w:val="both"/>
        <w:rPr>
          <w:rStyle w:val="C3"/>
          <w:rFonts w:ascii="Courier New" w:hAnsi="Courier New"/>
          <w:b w:val="1"/>
          <w:color w:val="000000"/>
          <w:u w:val="single"/>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561"/>
        <w:jc w:val="both"/>
        <w:rPr>
          <w:rStyle w:val="C3"/>
          <w:rFonts w:ascii="Courier New" w:hAnsi="Courier New"/>
          <w:b w:val="1"/>
          <w:color w:val="000000"/>
          <w:u w:val="single"/>
        </w:rPr>
      </w:pPr>
    </w:p>
    <w:p>
      <w:pPr>
        <w:ind w:left="113"/>
        <w:jc w:val="both"/>
        <w:rPr>
          <w:rStyle w:val="C3"/>
          <w:rFonts w:ascii="Courier New" w:hAnsi="Courier New"/>
          <w:color w:val="000000"/>
        </w:rPr>
      </w:pPr>
    </w:p>
    <w:p>
      <w:pPr>
        <w:ind w:left="113"/>
        <w:jc w:val="both"/>
        <w:rPr>
          <w:rStyle w:val="C3"/>
          <w:rFonts w:ascii="Courier New" w:hAnsi="Courier New"/>
          <w:color w:val="000000"/>
        </w:rPr>
      </w:pPr>
      <w:r>
        <w:rPr>
          <w:rStyle w:val="C3"/>
          <w:rFonts w:ascii="Courier New" w:hAnsi="Courier New"/>
          <w:color w:val="000000"/>
        </w:rPr>
        <w:t>...///2.-</w:t>
      </w:r>
    </w:p>
    <w:p>
      <w:pPr>
        <w:ind w:left="561"/>
        <w:jc w:val="both"/>
        <w:rPr>
          <w:rStyle w:val="C3"/>
          <w:rFonts w:ascii="Courier New" w:hAnsi="Courier New"/>
          <w:b w:val="1"/>
          <w:color w:val="000000"/>
          <w:u w:val="single"/>
        </w:rPr>
      </w:pPr>
    </w:p>
    <w:p>
      <w:pPr>
        <w:ind w:hanging="448" w:left="561"/>
        <w:jc w:val="both"/>
        <w:rPr>
          <w:rStyle w:val="C3"/>
          <w:rFonts w:ascii="Courier New" w:hAnsi="Courier New"/>
          <w:color w:val="000000"/>
        </w:rPr>
      </w:pPr>
      <w:r>
        <w:rPr>
          <w:rStyle w:val="C3"/>
          <w:rFonts w:ascii="Courier New" w:hAnsi="Courier New"/>
          <w:b w:val="1"/>
          <w:color w:val="000000"/>
          <w:u w:val="single"/>
        </w:rPr>
        <w:t>Art.1</w:t>
      </w:r>
      <w:r>
        <w:rPr>
          <w:rStyle w:val="C3"/>
          <w:rFonts w:ascii="Courier New" w:hAnsi="Courier New"/>
          <w:b w:val="1"/>
          <w:color w:val="000000"/>
        </w:rPr>
        <w:t>:</w:t>
      </w:r>
      <w:r>
        <w:rPr>
          <w:rStyle w:val="C3"/>
          <w:rFonts w:ascii="Courier New" w:hAnsi="Courier New"/>
          <w:b w:val="1"/>
          <w:color w:val="000000"/>
        </w:rPr>
        <w:t xml:space="preserve"> MODIFÍCASE </w:t>
      </w:r>
      <w:r>
        <w:rPr>
          <w:rStyle w:val="C3"/>
          <w:rFonts w:ascii="Courier New" w:hAnsi="Courier New"/>
          <w:color w:val="000000"/>
        </w:rPr>
        <w:t>la Ordenanza Nº 8555 en su parte ordenativa la que quedará redactada de la siguiente manera:</w:t>
      </w:r>
    </w:p>
    <w:p>
      <w:pPr>
        <w:ind w:left="561"/>
        <w:jc w:val="both"/>
        <w:rPr>
          <w:rStyle w:val="C3"/>
          <w:rFonts w:ascii="Courier New" w:hAnsi="Courier New"/>
          <w:b w:val="1"/>
          <w:color w:val="000000"/>
          <w:u w:val="single"/>
        </w:rPr>
      </w:pPr>
    </w:p>
    <w:p>
      <w:pPr>
        <w:ind w:hanging="561" w:left="1122"/>
        <w:jc w:val="both"/>
        <w:rPr>
          <w:rStyle w:val="C3"/>
          <w:rFonts w:ascii="Courier New" w:hAnsi="Courier New"/>
        </w:rPr>
      </w:pPr>
      <w:r>
        <w:rPr>
          <w:rStyle w:val="C3"/>
          <w:rFonts w:ascii="Courier New" w:hAnsi="Courier New"/>
          <w:b w:val="1"/>
          <w:color w:val="000000"/>
          <w:u w:val="single"/>
        </w:rPr>
        <w:t>Art.1</w:t>
      </w:r>
      <w:r>
        <w:rPr>
          <w:rStyle w:val="C3"/>
          <w:rFonts w:ascii="Courier New" w:hAnsi="Courier New"/>
          <w:b w:val="1"/>
          <w:color w:val="000000"/>
        </w:rPr>
        <w:t>:</w:t>
      </w:r>
      <w:r>
        <w:rPr>
          <w:rStyle w:val="C3"/>
          <w:rFonts w:ascii="Courier New" w:hAnsi="Courier New"/>
          <w:color w:val="000000"/>
        </w:rPr>
        <w:t xml:space="preserve"> </w:t>
      </w:r>
      <w:r>
        <w:rPr>
          <w:rStyle w:val="C3"/>
          <w:rFonts w:ascii="Courier New" w:hAnsi="Courier New"/>
          <w:b w:val="1"/>
          <w:color w:val="000000"/>
        </w:rPr>
        <w:t xml:space="preserve">ESTABLÉCESE </w:t>
      </w:r>
      <w:r>
        <w:rPr>
          <w:rStyle w:val="C3"/>
          <w:rFonts w:ascii="Courier New" w:hAnsi="Courier New"/>
          <w:color w:val="000000"/>
        </w:rPr>
        <w:t xml:space="preserve">el valor de la Tarifa del Servicio de Público de Transporte Urbano de pasajeros de la siguiente manera:  </w:t>
      </w:r>
      <w:r>
        <w:rPr>
          <w:rStyle w:val="C3"/>
          <w:rFonts w:ascii="Courier New" w:hAnsi="Courier New"/>
        </w:rPr>
        <w:t xml:space="preserve"> </w:t>
      </w:r>
    </w:p>
    <w:p>
      <w:pPr>
        <w:ind w:hanging="448" w:left="561"/>
        <w:jc w:val="both"/>
        <w:rPr>
          <w:rStyle w:val="C3"/>
          <w:rFonts w:ascii="Courier New" w:hAnsi="Courier New"/>
        </w:rPr>
      </w:pPr>
    </w:p>
    <w:p>
      <w:pPr>
        <w:numPr>
          <w:ilvl w:val="0"/>
          <w:numId w:val="1"/>
        </w:numPr>
        <w:jc w:val="both"/>
        <w:rPr>
          <w:rStyle w:val="C3"/>
          <w:rFonts w:ascii="Courier New" w:hAnsi="Courier New"/>
          <w:color w:val="000000"/>
        </w:rPr>
      </w:pPr>
      <w:r>
        <w:rPr>
          <w:rStyle w:val="C3"/>
          <w:rFonts w:ascii="Courier New" w:hAnsi="Courier New"/>
          <w:color w:val="000000"/>
        </w:rPr>
        <w:t>Boleto Urbano 1ª Sección: PESOS UNO CON CINCUENTA CENTAVOS ($1,50)</w:t>
      </w:r>
    </w:p>
    <w:p>
      <w:pPr>
        <w:ind w:left="561"/>
        <w:jc w:val="both"/>
        <w:rPr>
          <w:rStyle w:val="C3"/>
          <w:rFonts w:ascii="Courier New" w:hAnsi="Courier New"/>
          <w:color w:val="000000"/>
        </w:rPr>
      </w:pPr>
    </w:p>
    <w:p>
      <w:pPr>
        <w:numPr>
          <w:ilvl w:val="0"/>
          <w:numId w:val="1"/>
        </w:numPr>
        <w:jc w:val="both"/>
        <w:rPr>
          <w:rStyle w:val="C3"/>
          <w:rFonts w:ascii="Courier New" w:hAnsi="Courier New"/>
          <w:color w:val="000000"/>
        </w:rPr>
      </w:pPr>
      <w:r>
        <w:rPr>
          <w:rStyle w:val="C3"/>
          <w:rFonts w:ascii="Courier New" w:hAnsi="Courier New"/>
          <w:color w:val="000000"/>
        </w:rPr>
        <w:t xml:space="preserve">Boleto Urbano 2ª Sección: PESOS UNO  CON NOVENTA CENTAVOS ($1,90).-</w:t>
      </w:r>
    </w:p>
    <w:p>
      <w:pPr>
        <w:jc w:val="both"/>
        <w:rPr>
          <w:rStyle w:val="C3"/>
          <w:rFonts w:ascii="Courier New" w:hAnsi="Courier New"/>
          <w:color w:val="000000"/>
        </w:rPr>
      </w:pPr>
    </w:p>
    <w:p>
      <w:pPr>
        <w:pStyle w:val="P20"/>
        <w:ind w:hanging="561" w:left="1122"/>
        <w:jc w:val="both"/>
        <w:rPr>
          <w:rStyle w:val="C3"/>
          <w:sz w:val="24"/>
        </w:rPr>
      </w:pPr>
      <w:r>
        <w:rPr>
          <w:rStyle w:val="C3"/>
          <w:b w:val="1"/>
          <w:sz w:val="24"/>
          <w:u w:val="single"/>
        </w:rPr>
        <w:t>Art.2</w:t>
      </w:r>
      <w:r>
        <w:rPr>
          <w:rStyle w:val="C3"/>
          <w:b w:val="1"/>
          <w:sz w:val="24"/>
        </w:rPr>
        <w:t xml:space="preserve">: </w:t>
      </w:r>
      <w:r>
        <w:rPr>
          <w:rStyle w:val="C3"/>
          <w:b w:val="1"/>
          <w:color w:val="000000"/>
          <w:sz w:val="24"/>
        </w:rPr>
        <w:t>ESTABLÉCESE</w:t>
      </w:r>
      <w:r>
        <w:rPr>
          <w:rStyle w:val="C3"/>
          <w:b w:val="1"/>
          <w:sz w:val="24"/>
        </w:rPr>
        <w:t xml:space="preserve"> </w:t>
      </w:r>
      <w:r>
        <w:rPr>
          <w:rStyle w:val="C3"/>
          <w:sz w:val="24"/>
        </w:rPr>
        <w:t>que el costro del Boleto Estudiantil determinado por Ordenanza Nº 3542, solo por el mes de Marzo del 2010, tendrá un valor de PESOS CINCUENTA CENTAVOS ($0,50) y a partir del 01 de Abril de 2010 un valor de:</w:t>
      </w:r>
    </w:p>
    <w:p>
      <w:pPr>
        <w:pStyle w:val="P20"/>
        <w:ind w:hanging="374" w:left="374"/>
        <w:jc w:val="both"/>
        <w:rPr>
          <w:rStyle w:val="C3"/>
          <w:sz w:val="24"/>
        </w:rPr>
      </w:pPr>
    </w:p>
    <w:p>
      <w:pPr>
        <w:pStyle w:val="P20"/>
        <w:numPr>
          <w:ilvl w:val="0"/>
          <w:numId w:val="2"/>
        </w:numPr>
        <w:jc w:val="both"/>
        <w:rPr>
          <w:rStyle w:val="C3"/>
          <w:sz w:val="24"/>
        </w:rPr>
      </w:pPr>
      <w:r>
        <w:rPr>
          <w:rStyle w:val="C3"/>
          <w:sz w:val="24"/>
        </w:rPr>
        <w:t xml:space="preserve">1ª Sección:  PESOS SETENTA  Y  CINCO CENTAVOS ($0,75)</w:t>
      </w:r>
    </w:p>
    <w:p>
      <w:pPr>
        <w:pStyle w:val="P20"/>
        <w:ind w:left="375"/>
        <w:jc w:val="both"/>
        <w:rPr>
          <w:rStyle w:val="C3"/>
          <w:sz w:val="24"/>
        </w:rPr>
      </w:pPr>
    </w:p>
    <w:p>
      <w:pPr>
        <w:pStyle w:val="P20"/>
        <w:numPr>
          <w:ilvl w:val="0"/>
          <w:numId w:val="2"/>
        </w:numPr>
        <w:jc w:val="both"/>
        <w:rPr>
          <w:rStyle w:val="C3"/>
          <w:sz w:val="24"/>
        </w:rPr>
      </w:pPr>
      <w:r>
        <w:rPr>
          <w:rStyle w:val="C3"/>
          <w:sz w:val="24"/>
        </w:rPr>
        <w:t>2ª Sección: PESOS NOVENTA Y SIETE CENTAVOS ($0,90)</w:t>
        <w:tab/>
      </w:r>
    </w:p>
    <w:p>
      <w:pPr>
        <w:pStyle w:val="P20"/>
        <w:jc w:val="both"/>
        <w:rPr>
          <w:rStyle w:val="C3"/>
          <w:sz w:val="24"/>
        </w:rPr>
      </w:pPr>
    </w:p>
    <w:p>
      <w:pPr>
        <w:pStyle w:val="P20"/>
        <w:ind w:left="1122"/>
        <w:jc w:val="both"/>
        <w:rPr>
          <w:rStyle w:val="C3"/>
          <w:sz w:val="24"/>
        </w:rPr>
      </w:pPr>
    </w:p>
    <w:p>
      <w:pPr>
        <w:pStyle w:val="P20"/>
        <w:ind w:hanging="561" w:left="1122"/>
        <w:jc w:val="both"/>
        <w:rPr>
          <w:rStyle w:val="C3"/>
          <w:sz w:val="24"/>
        </w:rPr>
      </w:pPr>
      <w:r>
        <w:rPr>
          <w:rStyle w:val="C3"/>
          <w:b w:val="1"/>
          <w:sz w:val="24"/>
          <w:u w:val="single"/>
        </w:rPr>
        <w:t>Art.3</w:t>
      </w:r>
      <w:r>
        <w:rPr>
          <w:rStyle w:val="C3"/>
          <w:b w:val="1"/>
          <w:sz w:val="24"/>
        </w:rPr>
        <w:t xml:space="preserve">: ESTABLÉCESE </w:t>
      </w:r>
      <w:r>
        <w:rPr>
          <w:rStyle w:val="C3"/>
          <w:sz w:val="24"/>
        </w:rPr>
        <w:t>que el corredor número uno (Nº 1), que actualmente tiene como final de recorrido el Valle Buena Esperanza, realizando aproximadamente siete Kilómetros (7 km.) más comparado con otro corredor por caminos de tierra, se divide en dos secciones:</w:t>
      </w:r>
    </w:p>
    <w:p>
      <w:pPr>
        <w:pStyle w:val="P20"/>
        <w:jc w:val="both"/>
        <w:rPr>
          <w:rStyle w:val="C3"/>
          <w:sz w:val="24"/>
        </w:rPr>
      </w:pPr>
    </w:p>
    <w:p>
      <w:pPr>
        <w:pStyle w:val="P20"/>
        <w:jc w:val="both"/>
        <w:rPr>
          <w:rStyle w:val="C3"/>
          <w:b w:val="1"/>
          <w:sz w:val="24"/>
        </w:rPr>
      </w:pPr>
    </w:p>
    <w:p>
      <w:pPr>
        <w:pStyle w:val="P20"/>
        <w:ind w:hanging="374" w:left="374"/>
        <w:jc w:val="right"/>
        <w:rPr>
          <w:rStyle w:val="C3"/>
          <w:sz w:val="24"/>
        </w:rPr>
      </w:pPr>
      <w:r>
        <w:rPr>
          <w:rStyle w:val="C3"/>
          <w:sz w:val="24"/>
        </w:rPr>
        <w:t>...///</w:t>
      </w:r>
    </w:p>
    <w:p>
      <w:pPr>
        <w:pStyle w:val="P20"/>
        <w:ind w:hanging="374" w:left="374"/>
        <w:jc w:val="both"/>
        <w:rPr>
          <w:rStyle w:val="C3"/>
          <w:b w:val="1"/>
          <w:sz w:val="24"/>
          <w:u w:val="single"/>
        </w:rPr>
      </w:pPr>
    </w:p>
    <w:p>
      <w:pPr>
        <w:pStyle w:val="P20"/>
        <w:ind w:hanging="374" w:left="374"/>
        <w:jc w:val="both"/>
        <w:rPr>
          <w:rStyle w:val="C3"/>
          <w:b w:val="1"/>
          <w:sz w:val="24"/>
          <w:u w:val="single"/>
        </w:rPr>
      </w:pPr>
    </w:p>
    <w:p>
      <w:pPr>
        <w:pStyle w:val="P20"/>
        <w:ind w:hanging="374" w:left="374"/>
        <w:jc w:val="both"/>
        <w:rPr>
          <w:rStyle w:val="C3"/>
          <w:b w:val="1"/>
          <w:sz w:val="24"/>
          <w:u w:val="single"/>
        </w:rPr>
      </w:pPr>
    </w:p>
    <w:p>
      <w:pPr>
        <w:pStyle w:val="P20"/>
        <w:ind w:hanging="374" w:left="374"/>
        <w:jc w:val="both"/>
        <w:rPr>
          <w:rStyle w:val="C3"/>
          <w:b w:val="1"/>
          <w:sz w:val="24"/>
          <w:u w:val="single"/>
        </w:rPr>
      </w:pPr>
    </w:p>
    <w:p>
      <w:pPr>
        <w:pStyle w:val="P20"/>
        <w:ind w:hanging="374" w:left="374"/>
        <w:jc w:val="both"/>
        <w:rPr>
          <w:rStyle w:val="C3"/>
          <w:b w:val="1"/>
          <w:sz w:val="24"/>
          <w:u w:val="single"/>
        </w:rPr>
      </w:pPr>
    </w:p>
    <w:p>
      <w:pPr>
        <w:pStyle w:val="P20"/>
        <w:ind w:hanging="374" w:left="374"/>
        <w:jc w:val="both"/>
        <w:rPr>
          <w:rStyle w:val="C3"/>
          <w:b w:val="1"/>
          <w:sz w:val="24"/>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561"/>
        <w:jc w:val="both"/>
        <w:rPr>
          <w:rStyle w:val="C3"/>
          <w:rFonts w:ascii="Courier New" w:hAnsi="Courier New"/>
          <w:b w:val="1"/>
          <w:color w:val="000000"/>
          <w:u w:val="single"/>
        </w:rPr>
      </w:pPr>
    </w:p>
    <w:p>
      <w:pPr>
        <w:ind w:left="113"/>
        <w:jc w:val="both"/>
        <w:rPr>
          <w:rStyle w:val="C3"/>
          <w:rFonts w:ascii="Courier New" w:hAnsi="Courier New"/>
          <w:color w:val="000000"/>
        </w:rPr>
      </w:pPr>
    </w:p>
    <w:p>
      <w:pPr>
        <w:ind w:left="113"/>
        <w:jc w:val="both"/>
        <w:rPr>
          <w:rStyle w:val="C3"/>
          <w:rFonts w:ascii="Courier New" w:hAnsi="Courier New"/>
          <w:color w:val="000000"/>
        </w:rPr>
      </w:pPr>
      <w:r>
        <w:rPr>
          <w:rStyle w:val="C3"/>
          <w:rFonts w:ascii="Courier New" w:hAnsi="Courier New"/>
          <w:color w:val="000000"/>
        </w:rPr>
        <w:t>...///3.-</w:t>
      </w:r>
    </w:p>
    <w:p>
      <w:pPr>
        <w:pStyle w:val="P20"/>
        <w:ind w:hanging="374" w:left="374"/>
        <w:jc w:val="both"/>
        <w:rPr>
          <w:rStyle w:val="C3"/>
          <w:b w:val="1"/>
          <w:sz w:val="24"/>
          <w:u w:val="single"/>
        </w:rPr>
      </w:pPr>
    </w:p>
    <w:p>
      <w:pPr>
        <w:pStyle w:val="P20"/>
        <w:ind w:hanging="374" w:left="374"/>
        <w:jc w:val="both"/>
        <w:rPr>
          <w:rStyle w:val="C3"/>
          <w:b w:val="1"/>
          <w:sz w:val="24"/>
          <w:u w:val="single"/>
        </w:rPr>
      </w:pPr>
    </w:p>
    <w:p>
      <w:pPr>
        <w:pStyle w:val="P20"/>
        <w:numPr>
          <w:ilvl w:val="0"/>
          <w:numId w:val="3"/>
        </w:numPr>
        <w:jc w:val="both"/>
        <w:rPr>
          <w:rStyle w:val="C3"/>
          <w:sz w:val="24"/>
        </w:rPr>
      </w:pPr>
      <w:r>
        <w:rPr>
          <w:rStyle w:val="C3"/>
          <w:sz w:val="24"/>
        </w:rPr>
        <w:t xml:space="preserve">PRIMERA SECCIÓN: Hasta la Rinconada   </w:t>
      </w:r>
    </w:p>
    <w:p>
      <w:pPr>
        <w:pStyle w:val="P20"/>
        <w:ind w:left="435"/>
        <w:jc w:val="both"/>
        <w:rPr>
          <w:rStyle w:val="C3"/>
          <w:sz w:val="24"/>
        </w:rPr>
      </w:pPr>
    </w:p>
    <w:p>
      <w:pPr>
        <w:pStyle w:val="P20"/>
        <w:numPr>
          <w:ilvl w:val="0"/>
          <w:numId w:val="3"/>
        </w:numPr>
        <w:jc w:val="both"/>
        <w:rPr>
          <w:rStyle w:val="C3"/>
          <w:sz w:val="24"/>
        </w:rPr>
      </w:pPr>
      <w:r>
        <w:rPr>
          <w:rStyle w:val="C3"/>
          <w:sz w:val="24"/>
        </w:rPr>
        <w:t>SEGUNDA SECCIÓN: A partir de la Rinconada hasta el Valle Buena Esperanza</w:t>
      </w:r>
    </w:p>
    <w:p>
      <w:pPr>
        <w:pStyle w:val="P20"/>
        <w:ind w:hanging="374" w:left="374"/>
        <w:jc w:val="both"/>
        <w:rPr>
          <w:rStyle w:val="C3"/>
          <w:b w:val="1"/>
          <w:sz w:val="24"/>
          <w:u w:val="single"/>
        </w:rPr>
      </w:pPr>
    </w:p>
    <w:p>
      <w:pPr>
        <w:pStyle w:val="P20"/>
        <w:ind w:hanging="374" w:left="374"/>
        <w:jc w:val="both"/>
        <w:rPr>
          <w:rStyle w:val="C3"/>
          <w:sz w:val="24"/>
        </w:rPr>
      </w:pPr>
      <w:r>
        <w:rPr>
          <w:rStyle w:val="C3"/>
          <w:b w:val="1"/>
          <w:sz w:val="24"/>
          <w:u w:val="single"/>
        </w:rPr>
        <w:t>Art.</w:t>
      </w:r>
      <w:r>
        <w:rPr>
          <w:rStyle w:val="C3"/>
          <w:b w:val="1"/>
          <w:sz w:val="24"/>
          <w:u w:val="single"/>
        </w:rPr>
        <w:t>2</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tabs>
          <w:tab w:val="left" w:pos="1460" w:leader="none"/>
        </w:tabs>
        <w:jc w:val="both"/>
      </w:pPr>
      <w:r>
        <w:tab/>
      </w:r>
    </w:p>
    <w:p>
      <w:pPr>
        <w:pStyle w:val="P17"/>
      </w:pPr>
      <w:r>
        <w:t xml:space="preserve">DADA EN LA SALA DE SESIONES DEL HONORABLE CONCEJO DELIBERANTE A LOS DIECISIETE DÍAS DEL MES DE MARZO DEL AÑO DOS MIL DIEZ.- </w:t>
      </w: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1E7D5A80"/>
    <w:multiLevelType w:val="multilevel"/>
    <w:lvl w:ilvl="0">
      <w:start w:val="1"/>
      <w:numFmt w:val="lowerLetter"/>
      <w:suff w:val="tab"/>
      <w:lvlText w:val="%1)"/>
      <w:lvlJc w:val="left"/>
      <w:pPr>
        <w:ind w:hanging="435" w:left="1557"/>
        <w:tabs>
          <w:tab w:val="left" w:pos="1557" w:leader="none"/>
        </w:tabs>
      </w:pPr>
      <w:rPr/>
    </w:lvl>
    <w:lvl w:ilvl="1">
      <w:start w:val="1"/>
      <w:numFmt w:val="lowerLetter"/>
      <w:suff w:val="tab"/>
      <w:lvlText w:val="%2."/>
      <w:lvlJc w:val="left"/>
      <w:pPr>
        <w:ind w:hanging="360" w:left="2202"/>
        <w:tabs>
          <w:tab w:val="left" w:pos="2202" w:leader="none"/>
        </w:tabs>
      </w:pPr>
      <w:rPr/>
    </w:lvl>
    <w:lvl w:ilvl="2">
      <w:start w:val="1"/>
      <w:numFmt w:val="lowerRoman"/>
      <w:suff w:val="tab"/>
      <w:lvlText w:val="%3."/>
      <w:lvlJc w:val="right"/>
      <w:pPr>
        <w:ind w:hanging="180" w:left="2922"/>
        <w:tabs>
          <w:tab w:val="left" w:pos="2922" w:leader="none"/>
        </w:tabs>
      </w:pPr>
      <w:rPr/>
    </w:lvl>
    <w:lvl w:ilvl="3">
      <w:start w:val="1"/>
      <w:numFmt w:val="decimal"/>
      <w:suff w:val="tab"/>
      <w:lvlText w:val="%4."/>
      <w:lvlJc w:val="left"/>
      <w:pPr>
        <w:ind w:hanging="360" w:left="3642"/>
        <w:tabs>
          <w:tab w:val="left" w:pos="3642" w:leader="none"/>
        </w:tabs>
      </w:pPr>
      <w:rPr/>
    </w:lvl>
    <w:lvl w:ilvl="4">
      <w:start w:val="1"/>
      <w:numFmt w:val="lowerLetter"/>
      <w:suff w:val="tab"/>
      <w:lvlText w:val="%5."/>
      <w:lvlJc w:val="left"/>
      <w:pPr>
        <w:ind w:hanging="360" w:left="4362"/>
        <w:tabs>
          <w:tab w:val="left" w:pos="4362" w:leader="none"/>
        </w:tabs>
      </w:pPr>
      <w:rPr/>
    </w:lvl>
    <w:lvl w:ilvl="5">
      <w:start w:val="1"/>
      <w:numFmt w:val="lowerRoman"/>
      <w:suff w:val="tab"/>
      <w:lvlText w:val="%6."/>
      <w:lvlJc w:val="right"/>
      <w:pPr>
        <w:ind w:hanging="180" w:left="5082"/>
        <w:tabs>
          <w:tab w:val="left" w:pos="5082" w:leader="none"/>
        </w:tabs>
      </w:pPr>
      <w:rPr/>
    </w:lvl>
    <w:lvl w:ilvl="6">
      <w:start w:val="1"/>
      <w:numFmt w:val="decimal"/>
      <w:suff w:val="tab"/>
      <w:lvlText w:val="%7."/>
      <w:lvlJc w:val="left"/>
      <w:pPr>
        <w:ind w:hanging="360" w:left="5802"/>
        <w:tabs>
          <w:tab w:val="left" w:pos="5802" w:leader="none"/>
        </w:tabs>
      </w:pPr>
      <w:rPr/>
    </w:lvl>
    <w:lvl w:ilvl="7">
      <w:start w:val="1"/>
      <w:numFmt w:val="lowerLetter"/>
      <w:suff w:val="tab"/>
      <w:lvlText w:val="%8."/>
      <w:lvlJc w:val="left"/>
      <w:pPr>
        <w:ind w:hanging="360" w:left="6522"/>
        <w:tabs>
          <w:tab w:val="left" w:pos="6522" w:leader="none"/>
        </w:tabs>
      </w:pPr>
      <w:rPr/>
    </w:lvl>
    <w:lvl w:ilvl="8">
      <w:start w:val="1"/>
      <w:numFmt w:val="lowerRoman"/>
      <w:suff w:val="tab"/>
      <w:lvlText w:val="%9."/>
      <w:lvlJc w:val="right"/>
      <w:pPr>
        <w:ind w:hanging="180" w:left="7242"/>
        <w:tabs>
          <w:tab w:val="left" w:pos="7242" w:leader="none"/>
        </w:tabs>
      </w:pPr>
      <w:rPr/>
    </w:lvl>
  </w:abstractNum>
  <w:abstractNum w:abstractNumId="1">
    <w:nsid w:val="2BA80398"/>
    <w:multiLevelType w:val="multilevel"/>
    <w:lvl w:ilvl="0">
      <w:start w:val="1"/>
      <w:numFmt w:val="lowerLetter"/>
      <w:suff w:val="tab"/>
      <w:lvlText w:val="%1)"/>
      <w:lvlJc w:val="left"/>
      <w:pPr>
        <w:ind w:hanging="435" w:left="1557"/>
        <w:tabs>
          <w:tab w:val="left" w:pos="1557" w:leader="none"/>
        </w:tabs>
      </w:pPr>
      <w:rPr/>
    </w:lvl>
    <w:lvl w:ilvl="1">
      <w:start w:val="1"/>
      <w:numFmt w:val="lowerLetter"/>
      <w:suff w:val="tab"/>
      <w:lvlText w:val="%2."/>
      <w:lvlJc w:val="left"/>
      <w:pPr>
        <w:ind w:hanging="360" w:left="2202"/>
        <w:tabs>
          <w:tab w:val="left" w:pos="2202" w:leader="none"/>
        </w:tabs>
      </w:pPr>
      <w:rPr/>
    </w:lvl>
    <w:lvl w:ilvl="2">
      <w:start w:val="1"/>
      <w:numFmt w:val="lowerRoman"/>
      <w:suff w:val="tab"/>
      <w:lvlText w:val="%3."/>
      <w:lvlJc w:val="right"/>
      <w:pPr>
        <w:ind w:hanging="180" w:left="2922"/>
        <w:tabs>
          <w:tab w:val="left" w:pos="2922" w:leader="none"/>
        </w:tabs>
      </w:pPr>
      <w:rPr/>
    </w:lvl>
    <w:lvl w:ilvl="3">
      <w:start w:val="1"/>
      <w:numFmt w:val="decimal"/>
      <w:suff w:val="tab"/>
      <w:lvlText w:val="%4."/>
      <w:lvlJc w:val="left"/>
      <w:pPr>
        <w:ind w:hanging="360" w:left="3642"/>
        <w:tabs>
          <w:tab w:val="left" w:pos="3642" w:leader="none"/>
        </w:tabs>
      </w:pPr>
      <w:rPr/>
    </w:lvl>
    <w:lvl w:ilvl="4">
      <w:start w:val="1"/>
      <w:numFmt w:val="lowerLetter"/>
      <w:suff w:val="tab"/>
      <w:lvlText w:val="%5."/>
      <w:lvlJc w:val="left"/>
      <w:pPr>
        <w:ind w:hanging="360" w:left="4362"/>
        <w:tabs>
          <w:tab w:val="left" w:pos="4362" w:leader="none"/>
        </w:tabs>
      </w:pPr>
      <w:rPr/>
    </w:lvl>
    <w:lvl w:ilvl="5">
      <w:start w:val="1"/>
      <w:numFmt w:val="lowerRoman"/>
      <w:suff w:val="tab"/>
      <w:lvlText w:val="%6."/>
      <w:lvlJc w:val="right"/>
      <w:pPr>
        <w:ind w:hanging="180" w:left="5082"/>
        <w:tabs>
          <w:tab w:val="left" w:pos="5082" w:leader="none"/>
        </w:tabs>
      </w:pPr>
      <w:rPr/>
    </w:lvl>
    <w:lvl w:ilvl="6">
      <w:start w:val="1"/>
      <w:numFmt w:val="decimal"/>
      <w:suff w:val="tab"/>
      <w:lvlText w:val="%7."/>
      <w:lvlJc w:val="left"/>
      <w:pPr>
        <w:ind w:hanging="360" w:left="5802"/>
        <w:tabs>
          <w:tab w:val="left" w:pos="5802" w:leader="none"/>
        </w:tabs>
      </w:pPr>
      <w:rPr/>
    </w:lvl>
    <w:lvl w:ilvl="7">
      <w:start w:val="1"/>
      <w:numFmt w:val="lowerLetter"/>
      <w:suff w:val="tab"/>
      <w:lvlText w:val="%8."/>
      <w:lvlJc w:val="left"/>
      <w:pPr>
        <w:ind w:hanging="360" w:left="6522"/>
        <w:tabs>
          <w:tab w:val="left" w:pos="6522" w:leader="none"/>
        </w:tabs>
      </w:pPr>
      <w:rPr/>
    </w:lvl>
    <w:lvl w:ilvl="8">
      <w:start w:val="1"/>
      <w:numFmt w:val="lowerRoman"/>
      <w:suff w:val="tab"/>
      <w:lvlText w:val="%9."/>
      <w:lvlJc w:val="right"/>
      <w:pPr>
        <w:ind w:hanging="180" w:left="7242"/>
        <w:tabs>
          <w:tab w:val="left" w:pos="7242" w:leader="none"/>
        </w:tabs>
      </w:pPr>
      <w:rPr/>
    </w:lvl>
  </w:abstractNum>
  <w:abstractNum w:abstractNumId="2">
    <w:nsid w:val="57B348CB"/>
    <w:multiLevelType w:val="multilevel"/>
    <w:lvl w:ilvl="0">
      <w:start w:val="1"/>
      <w:numFmt w:val="lowerLetter"/>
      <w:suff w:val="tab"/>
      <w:lvlText w:val="%1)"/>
      <w:lvlJc w:val="left"/>
      <w:pPr>
        <w:ind w:hanging="495" w:left="1617"/>
        <w:tabs>
          <w:tab w:val="left" w:pos="1617" w:leader="none"/>
        </w:tabs>
      </w:pPr>
      <w:rPr/>
    </w:lvl>
    <w:lvl w:ilvl="1">
      <w:start w:val="1"/>
      <w:numFmt w:val="lowerLetter"/>
      <w:suff w:val="tab"/>
      <w:lvlText w:val="%2."/>
      <w:lvlJc w:val="left"/>
      <w:pPr>
        <w:ind w:hanging="360" w:left="2202"/>
        <w:tabs>
          <w:tab w:val="left" w:pos="2202" w:leader="none"/>
        </w:tabs>
      </w:pPr>
      <w:rPr/>
    </w:lvl>
    <w:lvl w:ilvl="2">
      <w:start w:val="1"/>
      <w:numFmt w:val="lowerRoman"/>
      <w:suff w:val="tab"/>
      <w:lvlText w:val="%3."/>
      <w:lvlJc w:val="right"/>
      <w:pPr>
        <w:ind w:hanging="180" w:left="2922"/>
        <w:tabs>
          <w:tab w:val="left" w:pos="2922" w:leader="none"/>
        </w:tabs>
      </w:pPr>
      <w:rPr/>
    </w:lvl>
    <w:lvl w:ilvl="3">
      <w:start w:val="1"/>
      <w:numFmt w:val="decimal"/>
      <w:suff w:val="tab"/>
      <w:lvlText w:val="%4."/>
      <w:lvlJc w:val="left"/>
      <w:pPr>
        <w:ind w:hanging="360" w:left="3642"/>
        <w:tabs>
          <w:tab w:val="left" w:pos="3642" w:leader="none"/>
        </w:tabs>
      </w:pPr>
      <w:rPr/>
    </w:lvl>
    <w:lvl w:ilvl="4">
      <w:start w:val="1"/>
      <w:numFmt w:val="lowerLetter"/>
      <w:suff w:val="tab"/>
      <w:lvlText w:val="%5."/>
      <w:lvlJc w:val="left"/>
      <w:pPr>
        <w:ind w:hanging="360" w:left="4362"/>
        <w:tabs>
          <w:tab w:val="left" w:pos="4362" w:leader="none"/>
        </w:tabs>
      </w:pPr>
      <w:rPr/>
    </w:lvl>
    <w:lvl w:ilvl="5">
      <w:start w:val="1"/>
      <w:numFmt w:val="lowerRoman"/>
      <w:suff w:val="tab"/>
      <w:lvlText w:val="%6."/>
      <w:lvlJc w:val="right"/>
      <w:pPr>
        <w:ind w:hanging="180" w:left="5082"/>
        <w:tabs>
          <w:tab w:val="left" w:pos="5082" w:leader="none"/>
        </w:tabs>
      </w:pPr>
      <w:rPr/>
    </w:lvl>
    <w:lvl w:ilvl="6">
      <w:start w:val="1"/>
      <w:numFmt w:val="decimal"/>
      <w:suff w:val="tab"/>
      <w:lvlText w:val="%7."/>
      <w:lvlJc w:val="left"/>
      <w:pPr>
        <w:ind w:hanging="360" w:left="5802"/>
        <w:tabs>
          <w:tab w:val="left" w:pos="5802" w:leader="none"/>
        </w:tabs>
      </w:pPr>
      <w:rPr/>
    </w:lvl>
    <w:lvl w:ilvl="7">
      <w:start w:val="1"/>
      <w:numFmt w:val="lowerLetter"/>
      <w:suff w:val="tab"/>
      <w:lvlText w:val="%8."/>
      <w:lvlJc w:val="left"/>
      <w:pPr>
        <w:ind w:hanging="360" w:left="6522"/>
        <w:tabs>
          <w:tab w:val="left" w:pos="6522" w:leader="none"/>
        </w:tabs>
      </w:pPr>
      <w:rPr/>
    </w:lvl>
    <w:lvl w:ilvl="8">
      <w:start w:val="1"/>
      <w:numFmt w:val="lowerRoman"/>
      <w:suff w:val="tab"/>
      <w:lvlText w:val="%9."/>
      <w:lvlJc w:val="right"/>
      <w:pPr>
        <w:ind w:hanging="180" w:left="7242"/>
        <w:tabs>
          <w:tab w:val="left" w:pos="7242" w:leader="none"/>
        </w:tabs>
      </w:pPr>
      <w:rPr/>
    </w:lvl>
  </w:abstractNum>
  <w:num w:numId="1">
    <w:abstractNumId w:val="2"/>
  </w:num>
  <w:num w:numId="2">
    <w:abstractNumId w:val="0"/>
  </w:num>
  <w:num w:numId="3">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2010-03-18T12:55:00Z</dcterms:created>
  <cp:lastModifiedBy>Ethan Puglia</cp:lastModifiedBy>
  <cp:lastPrinted>2010-02-11T12:14:00Z</cp:lastPrinted>
  <dcterms:modified xsi:type="dcterms:W3CDTF">2019-03-28T17:34:19Z</dcterms:modified>
  <cp:revision>11</cp:revision>
  <dc:title>PROYECTO DE ORDENANZA VIOLENCIA FAMILIAR</dc:title>
</cp:coreProperties>
</file>